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6C4D4" w14:textId="77777777" w:rsidR="00C246CF" w:rsidRPr="00C246CF" w:rsidRDefault="00C246CF" w:rsidP="00C246CF">
      <w:pPr>
        <w:shd w:val="clear" w:color="auto" w:fill="FFFFFF"/>
        <w:spacing w:after="150" w:line="240" w:lineRule="atLeast"/>
        <w:outlineLvl w:val="0"/>
        <w:rPr>
          <w:rFonts w:ascii="inherit" w:eastAsia="Times New Roman" w:hAnsi="inherit" w:cs="Arial"/>
          <w:b/>
          <w:bCs/>
          <w:color w:val="000000"/>
          <w:kern w:val="36"/>
          <w:sz w:val="56"/>
          <w:szCs w:val="56"/>
        </w:rPr>
      </w:pPr>
      <w:r w:rsidRPr="00C246CF">
        <w:rPr>
          <w:rFonts w:ascii="inherit" w:eastAsia="Times New Roman" w:hAnsi="inherit" w:cs="Arial"/>
          <w:b/>
          <w:bCs/>
          <w:color w:val="000000"/>
          <w:kern w:val="36"/>
          <w:sz w:val="56"/>
          <w:szCs w:val="56"/>
        </w:rPr>
        <w:t>NOAA Fisheries Issues Emergency Action to Continue to Waive Observer Coverage</w:t>
      </w:r>
    </w:p>
    <w:p w14:paraId="27B9C2BF" w14:textId="77777777" w:rsidR="00C246CF" w:rsidRPr="00C246CF" w:rsidRDefault="00C246CF" w:rsidP="00C246CF">
      <w:pPr>
        <w:shd w:val="clear" w:color="auto" w:fill="FFFFFF"/>
        <w:spacing w:after="0" w:line="240" w:lineRule="auto"/>
        <w:rPr>
          <w:rFonts w:ascii="Arial" w:eastAsia="Times New Roman" w:hAnsi="Arial" w:cs="Times New Roman"/>
          <w:sz w:val="24"/>
          <w:szCs w:val="24"/>
        </w:rPr>
      </w:pPr>
      <w:r w:rsidRPr="00C246CF">
        <w:rPr>
          <w:rFonts w:ascii="Arial" w:eastAsia="Times New Roman" w:hAnsi="Arial" w:cs="Arial"/>
          <w:b/>
          <w:bCs/>
          <w:color w:val="007EB2"/>
          <w:sz w:val="24"/>
          <w:szCs w:val="24"/>
        </w:rPr>
        <w:t>Emergency Rule</w:t>
      </w:r>
      <w:r w:rsidRPr="00C246CF">
        <w:rPr>
          <w:rFonts w:ascii="Arial" w:eastAsia="Times New Roman" w:hAnsi="Arial" w:cs="Arial"/>
          <w:color w:val="000000"/>
          <w:sz w:val="24"/>
          <w:szCs w:val="24"/>
        </w:rPr>
        <w:t> </w:t>
      </w:r>
      <w:r w:rsidRPr="00C246CF">
        <w:rPr>
          <w:rFonts w:ascii="Arial" w:eastAsia="Times New Roman" w:hAnsi="Arial" w:cs="Arial"/>
          <w:color w:val="C8CCD1"/>
          <w:sz w:val="24"/>
          <w:szCs w:val="24"/>
        </w:rPr>
        <w:t>|</w:t>
      </w:r>
      <w:r w:rsidRPr="00C246CF">
        <w:rPr>
          <w:rFonts w:ascii="Arial" w:eastAsia="Times New Roman" w:hAnsi="Arial" w:cs="Arial"/>
          <w:color w:val="000000"/>
          <w:sz w:val="24"/>
          <w:szCs w:val="24"/>
        </w:rPr>
        <w:t> </w:t>
      </w:r>
    </w:p>
    <w:p w14:paraId="1C70E90A" w14:textId="77777777" w:rsidR="00C246CF" w:rsidRPr="00C246CF" w:rsidRDefault="00C246CF" w:rsidP="00C246CF">
      <w:pPr>
        <w:shd w:val="clear" w:color="auto" w:fill="FFFFFF"/>
        <w:spacing w:line="240" w:lineRule="auto"/>
        <w:rPr>
          <w:rFonts w:ascii="Times New Roman" w:eastAsia="Times New Roman" w:hAnsi="Times New Roman" w:cs="Times New Roman"/>
          <w:sz w:val="24"/>
          <w:szCs w:val="24"/>
        </w:rPr>
      </w:pPr>
      <w:hyperlink r:id="rId5" w:history="1">
        <w:r w:rsidRPr="00C246CF">
          <w:rPr>
            <w:rFonts w:ascii="Arial" w:eastAsia="Times New Roman" w:hAnsi="Arial" w:cs="Arial"/>
            <w:color w:val="00467F"/>
            <w:sz w:val="24"/>
            <w:szCs w:val="24"/>
          </w:rPr>
          <w:t>National</w:t>
        </w:r>
      </w:hyperlink>
    </w:p>
    <w:p w14:paraId="32A8DB55" w14:textId="77777777" w:rsidR="00C246CF" w:rsidRPr="00C246CF" w:rsidRDefault="00C246CF" w:rsidP="00C246CF">
      <w:pPr>
        <w:shd w:val="clear" w:color="auto" w:fill="FFFFFF"/>
        <w:spacing w:before="240" w:after="150" w:line="240" w:lineRule="atLeast"/>
        <w:outlineLvl w:val="1"/>
        <w:rPr>
          <w:rFonts w:ascii="inherit" w:eastAsia="Times New Roman" w:hAnsi="inherit" w:cs="Arial"/>
          <w:b/>
          <w:bCs/>
          <w:color w:val="007EB2"/>
          <w:sz w:val="30"/>
          <w:szCs w:val="30"/>
        </w:rPr>
      </w:pPr>
      <w:r w:rsidRPr="00C246CF">
        <w:rPr>
          <w:rFonts w:ascii="inherit" w:eastAsia="Times New Roman" w:hAnsi="inherit" w:cs="Arial"/>
          <w:b/>
          <w:bCs/>
          <w:color w:val="007EB2"/>
          <w:sz w:val="30"/>
          <w:szCs w:val="30"/>
        </w:rPr>
        <w:t>Overview</w:t>
      </w:r>
    </w:p>
    <w:p w14:paraId="12F31649" w14:textId="77777777" w:rsidR="00C246CF" w:rsidRPr="00C246CF" w:rsidRDefault="00C246CF" w:rsidP="00C246CF">
      <w:pPr>
        <w:shd w:val="clear" w:color="auto" w:fill="FFFFFF"/>
        <w:spacing w:after="30" w:line="240" w:lineRule="atLeast"/>
        <w:rPr>
          <w:rFonts w:ascii="Arial" w:eastAsia="Times New Roman" w:hAnsi="Arial" w:cs="Arial"/>
          <w:b/>
          <w:bCs/>
          <w:color w:val="000000"/>
          <w:sz w:val="24"/>
          <w:szCs w:val="24"/>
        </w:rPr>
      </w:pPr>
      <w:r w:rsidRPr="00C246CF">
        <w:rPr>
          <w:rFonts w:ascii="Arial" w:eastAsia="Times New Roman" w:hAnsi="Arial" w:cs="Arial"/>
          <w:b/>
          <w:bCs/>
          <w:color w:val="000000"/>
          <w:sz w:val="24"/>
          <w:szCs w:val="24"/>
        </w:rPr>
        <w:t>Fishing Type</w:t>
      </w:r>
    </w:p>
    <w:p w14:paraId="12AAB029" w14:textId="77777777" w:rsidR="00C246CF" w:rsidRPr="00C246CF" w:rsidRDefault="00C246CF" w:rsidP="00C246CF">
      <w:pPr>
        <w:shd w:val="clear" w:color="auto" w:fill="FFFFFF"/>
        <w:spacing w:after="150" w:line="300" w:lineRule="atLeast"/>
        <w:rPr>
          <w:rFonts w:ascii="Arial" w:eastAsia="Times New Roman" w:hAnsi="Arial" w:cs="Arial"/>
          <w:color w:val="000000"/>
          <w:sz w:val="21"/>
          <w:szCs w:val="21"/>
        </w:rPr>
      </w:pPr>
      <w:r w:rsidRPr="00C246CF">
        <w:rPr>
          <w:rFonts w:ascii="Arial" w:eastAsia="Times New Roman" w:hAnsi="Arial" w:cs="Arial"/>
          <w:color w:val="000000"/>
          <w:sz w:val="21"/>
          <w:szCs w:val="21"/>
        </w:rPr>
        <w:t>Commercial</w:t>
      </w:r>
    </w:p>
    <w:p w14:paraId="3934CCDE" w14:textId="77777777" w:rsidR="00C246CF" w:rsidRPr="00C246CF" w:rsidRDefault="00C246CF" w:rsidP="00C246CF">
      <w:pPr>
        <w:shd w:val="clear" w:color="auto" w:fill="FFFFFF"/>
        <w:spacing w:after="30" w:line="240" w:lineRule="atLeast"/>
        <w:rPr>
          <w:rFonts w:ascii="Arial" w:eastAsia="Times New Roman" w:hAnsi="Arial" w:cs="Arial"/>
          <w:b/>
          <w:bCs/>
          <w:color w:val="000000"/>
          <w:sz w:val="24"/>
          <w:szCs w:val="24"/>
        </w:rPr>
      </w:pPr>
      <w:r w:rsidRPr="00C246CF">
        <w:rPr>
          <w:rFonts w:ascii="Arial" w:eastAsia="Times New Roman" w:hAnsi="Arial" w:cs="Arial"/>
          <w:b/>
          <w:bCs/>
          <w:color w:val="000000"/>
          <w:sz w:val="24"/>
          <w:szCs w:val="24"/>
        </w:rPr>
        <w:t>Action Status</w:t>
      </w:r>
    </w:p>
    <w:p w14:paraId="39A42E6D" w14:textId="77777777" w:rsidR="00C246CF" w:rsidRPr="00C246CF" w:rsidRDefault="00C246CF" w:rsidP="00C246CF">
      <w:pPr>
        <w:shd w:val="clear" w:color="auto" w:fill="FFFFFF"/>
        <w:spacing w:after="150" w:line="300" w:lineRule="atLeast"/>
        <w:rPr>
          <w:rFonts w:ascii="Arial" w:eastAsia="Times New Roman" w:hAnsi="Arial" w:cs="Arial"/>
          <w:color w:val="000000"/>
          <w:sz w:val="21"/>
          <w:szCs w:val="21"/>
        </w:rPr>
      </w:pPr>
      <w:r w:rsidRPr="00C246CF">
        <w:rPr>
          <w:rFonts w:ascii="Arial" w:eastAsia="Times New Roman" w:hAnsi="Arial" w:cs="Arial"/>
          <w:color w:val="000000"/>
          <w:sz w:val="21"/>
          <w:szCs w:val="21"/>
        </w:rPr>
        <w:t>Emergency Rule</w:t>
      </w:r>
    </w:p>
    <w:p w14:paraId="6A95D3E7" w14:textId="77777777" w:rsidR="00C246CF" w:rsidRPr="00C246CF" w:rsidRDefault="00C246CF" w:rsidP="00C246CF">
      <w:pPr>
        <w:shd w:val="clear" w:color="auto" w:fill="FFFFFF"/>
        <w:spacing w:after="30" w:line="240" w:lineRule="atLeast"/>
        <w:rPr>
          <w:rFonts w:ascii="Arial" w:eastAsia="Times New Roman" w:hAnsi="Arial" w:cs="Arial"/>
          <w:b/>
          <w:bCs/>
          <w:color w:val="000000"/>
          <w:sz w:val="24"/>
          <w:szCs w:val="24"/>
        </w:rPr>
      </w:pPr>
      <w:r w:rsidRPr="00C246CF">
        <w:rPr>
          <w:rFonts w:ascii="Arial" w:eastAsia="Times New Roman" w:hAnsi="Arial" w:cs="Arial"/>
          <w:b/>
          <w:bCs/>
          <w:color w:val="000000"/>
          <w:sz w:val="24"/>
          <w:szCs w:val="24"/>
        </w:rPr>
        <w:t>Published</w:t>
      </w:r>
    </w:p>
    <w:p w14:paraId="10EF29A0" w14:textId="77777777" w:rsidR="00C246CF" w:rsidRPr="00C246CF" w:rsidRDefault="00C246CF" w:rsidP="00C246CF">
      <w:pPr>
        <w:shd w:val="clear" w:color="auto" w:fill="FFFFFF"/>
        <w:spacing w:line="300" w:lineRule="atLeast"/>
        <w:rPr>
          <w:rFonts w:ascii="Arial" w:eastAsia="Times New Roman" w:hAnsi="Arial" w:cs="Arial"/>
          <w:color w:val="000000"/>
          <w:sz w:val="21"/>
          <w:szCs w:val="21"/>
        </w:rPr>
      </w:pPr>
      <w:r w:rsidRPr="00C246CF">
        <w:rPr>
          <w:rFonts w:ascii="Arial" w:eastAsia="Times New Roman" w:hAnsi="Arial" w:cs="Arial"/>
          <w:color w:val="000000"/>
          <w:sz w:val="21"/>
          <w:szCs w:val="21"/>
        </w:rPr>
        <w:t>03/29/2021</w:t>
      </w:r>
    </w:p>
    <w:p w14:paraId="421C9765" w14:textId="77777777" w:rsidR="00C246CF" w:rsidRPr="00C246CF" w:rsidRDefault="00C246CF" w:rsidP="00C246CF">
      <w:pPr>
        <w:shd w:val="clear" w:color="auto" w:fill="FFFFFF"/>
        <w:spacing w:before="240" w:after="150" w:line="240" w:lineRule="atLeast"/>
        <w:outlineLvl w:val="1"/>
        <w:rPr>
          <w:rFonts w:ascii="inherit" w:eastAsia="Times New Roman" w:hAnsi="inherit" w:cs="Arial"/>
          <w:color w:val="00467F"/>
          <w:sz w:val="42"/>
          <w:szCs w:val="42"/>
        </w:rPr>
      </w:pPr>
      <w:r w:rsidRPr="00C246CF">
        <w:rPr>
          <w:rFonts w:ascii="inherit" w:eastAsia="Times New Roman" w:hAnsi="inherit" w:cs="Arial"/>
          <w:color w:val="00467F"/>
          <w:sz w:val="42"/>
          <w:szCs w:val="42"/>
        </w:rPr>
        <w:t>Summary</w:t>
      </w:r>
    </w:p>
    <w:p w14:paraId="5DE8E757" w14:textId="77777777" w:rsidR="00C246CF" w:rsidRPr="00C246CF" w:rsidRDefault="00C246CF" w:rsidP="00C246CF">
      <w:pPr>
        <w:shd w:val="clear" w:color="auto" w:fill="FFFFFF"/>
        <w:spacing w:after="150" w:line="240" w:lineRule="auto"/>
        <w:rPr>
          <w:rFonts w:ascii="Arial" w:eastAsia="Times New Roman" w:hAnsi="Arial" w:cs="Arial"/>
          <w:color w:val="000000"/>
          <w:sz w:val="24"/>
          <w:szCs w:val="24"/>
        </w:rPr>
      </w:pPr>
      <w:r w:rsidRPr="00C246CF">
        <w:rPr>
          <w:rFonts w:ascii="Arial" w:eastAsia="Times New Roman" w:hAnsi="Arial" w:cs="Arial"/>
          <w:color w:val="000000"/>
          <w:sz w:val="24"/>
          <w:szCs w:val="24"/>
        </w:rPr>
        <w:t>NOAA Fisheries has issued an interim final rule to continue to provide the authority to waive observer coverage, some training, and other program requirements, on a case-by-case basis. The rule is a continuation of NOAA Fisheries’ response to the COVID-19 pandemic. The authority to waive coverage has resulted in a successful balance between public health and the safety of fishermen, observers, and others, while maintaining fishery operations and the monitoring necessary for sustainable management.</w:t>
      </w:r>
    </w:p>
    <w:p w14:paraId="4AFFD2CA" w14:textId="77777777" w:rsidR="00C246CF" w:rsidRPr="00C246CF" w:rsidRDefault="00C246CF" w:rsidP="00C246CF">
      <w:pPr>
        <w:shd w:val="clear" w:color="auto" w:fill="FFFFFF"/>
        <w:spacing w:after="150" w:line="240" w:lineRule="auto"/>
        <w:rPr>
          <w:rFonts w:ascii="Arial" w:eastAsia="Times New Roman" w:hAnsi="Arial" w:cs="Arial"/>
          <w:color w:val="000000"/>
          <w:sz w:val="24"/>
          <w:szCs w:val="24"/>
        </w:rPr>
      </w:pPr>
      <w:r w:rsidRPr="00C246CF">
        <w:rPr>
          <w:rFonts w:ascii="Arial" w:eastAsia="Times New Roman" w:hAnsi="Arial" w:cs="Arial"/>
          <w:color w:val="000000"/>
          <w:sz w:val="24"/>
          <w:szCs w:val="24"/>
        </w:rPr>
        <w:t xml:space="preserve">Under this emergency action NOAA Fisheries Regional Administrators, Office Directors, and Science Center Directors </w:t>
      </w:r>
      <w:proofErr w:type="gramStart"/>
      <w:r w:rsidRPr="00C246CF">
        <w:rPr>
          <w:rFonts w:ascii="Arial" w:eastAsia="Times New Roman" w:hAnsi="Arial" w:cs="Arial"/>
          <w:color w:val="000000"/>
          <w:sz w:val="24"/>
          <w:szCs w:val="24"/>
        </w:rPr>
        <w:t>have the ability to</w:t>
      </w:r>
      <w:proofErr w:type="gramEnd"/>
      <w:r w:rsidRPr="00C246CF">
        <w:rPr>
          <w:rFonts w:ascii="Arial" w:eastAsia="Times New Roman" w:hAnsi="Arial" w:cs="Arial"/>
          <w:color w:val="000000"/>
          <w:sz w:val="24"/>
          <w:szCs w:val="24"/>
        </w:rPr>
        <w:t xml:space="preserve"> waive observer requirements under two criteria:</w:t>
      </w:r>
    </w:p>
    <w:p w14:paraId="53467596" w14:textId="77777777" w:rsidR="00C246CF" w:rsidRPr="00C246CF" w:rsidRDefault="00C246CF" w:rsidP="00C246CF">
      <w:pPr>
        <w:numPr>
          <w:ilvl w:val="0"/>
          <w:numId w:val="1"/>
        </w:numPr>
        <w:shd w:val="clear" w:color="auto" w:fill="FFFFFF"/>
        <w:spacing w:before="100" w:beforeAutospacing="1" w:after="100" w:afterAutospacing="1" w:line="240" w:lineRule="auto"/>
        <w:ind w:left="495"/>
        <w:rPr>
          <w:rFonts w:ascii="Arial" w:eastAsia="Times New Roman" w:hAnsi="Arial" w:cs="Arial"/>
          <w:color w:val="000000"/>
          <w:sz w:val="24"/>
          <w:szCs w:val="24"/>
        </w:rPr>
      </w:pPr>
      <w:r w:rsidRPr="00C246CF">
        <w:rPr>
          <w:rFonts w:ascii="Arial" w:eastAsia="Times New Roman" w:hAnsi="Arial" w:cs="Arial"/>
          <w:color w:val="000000"/>
          <w:sz w:val="24"/>
          <w:szCs w:val="24"/>
        </w:rPr>
        <w:t>Placing an observer conflicts with travel restrictions or other requirements addressing COVID-19 related concerns issued by local, state, or national governments, or the private companies that deploy observers pursuant to NOAA Fisheries regulations; or</w:t>
      </w:r>
    </w:p>
    <w:p w14:paraId="5119CC0A" w14:textId="77777777" w:rsidR="00C246CF" w:rsidRPr="00C246CF" w:rsidRDefault="00C246CF" w:rsidP="00C246CF">
      <w:pPr>
        <w:numPr>
          <w:ilvl w:val="0"/>
          <w:numId w:val="1"/>
        </w:numPr>
        <w:shd w:val="clear" w:color="auto" w:fill="FFFFFF"/>
        <w:spacing w:before="100" w:beforeAutospacing="1" w:after="100" w:afterAutospacing="1" w:line="240" w:lineRule="auto"/>
        <w:ind w:left="495"/>
        <w:rPr>
          <w:rFonts w:ascii="Arial" w:eastAsia="Times New Roman" w:hAnsi="Arial" w:cs="Arial"/>
          <w:color w:val="000000"/>
          <w:sz w:val="24"/>
          <w:szCs w:val="24"/>
        </w:rPr>
      </w:pPr>
      <w:r w:rsidRPr="00C246CF">
        <w:rPr>
          <w:rFonts w:ascii="Arial" w:eastAsia="Times New Roman" w:hAnsi="Arial" w:cs="Arial"/>
          <w:color w:val="000000"/>
          <w:sz w:val="24"/>
          <w:szCs w:val="24"/>
        </w:rPr>
        <w:t>No qualified observer(s) is available for placement due to health, safety, or training issues related to COVID-19.</w:t>
      </w:r>
    </w:p>
    <w:p w14:paraId="65B57F96" w14:textId="77777777" w:rsidR="00C246CF" w:rsidRPr="00C246CF" w:rsidRDefault="00C246CF" w:rsidP="00C246CF">
      <w:pPr>
        <w:shd w:val="clear" w:color="auto" w:fill="FFFFFF"/>
        <w:spacing w:after="150" w:line="240" w:lineRule="auto"/>
        <w:rPr>
          <w:rFonts w:ascii="Arial" w:eastAsia="Times New Roman" w:hAnsi="Arial" w:cs="Arial"/>
          <w:color w:val="000000"/>
          <w:sz w:val="24"/>
          <w:szCs w:val="24"/>
        </w:rPr>
      </w:pPr>
      <w:r w:rsidRPr="00C246CF">
        <w:rPr>
          <w:rFonts w:ascii="Arial" w:eastAsia="Times New Roman" w:hAnsi="Arial" w:cs="Arial"/>
          <w:color w:val="000000"/>
          <w:sz w:val="24"/>
          <w:szCs w:val="24"/>
        </w:rPr>
        <w:t xml:space="preserve"> NOAA Fisheries will consider a trip waiver if the observer providers cannot meet the risk mitigation protocols imposed by a state on commercial fishing crew or by the vessel or vessel company on its crew. Based on our regulatory and contract oversight authority, NOAA Fisheries intends to ensure that observer providers and their observers </w:t>
      </w:r>
      <w:r w:rsidRPr="00C246CF">
        <w:rPr>
          <w:rFonts w:ascii="Arial" w:eastAsia="Times New Roman" w:hAnsi="Arial" w:cs="Arial"/>
          <w:color w:val="000000"/>
          <w:sz w:val="24"/>
          <w:szCs w:val="24"/>
        </w:rPr>
        <w:lastRenderedPageBreak/>
        <w:t>and monitors are following the same risk mitigation protocols that fishermen are following.</w:t>
      </w:r>
    </w:p>
    <w:p w14:paraId="7EEC832B" w14:textId="77777777" w:rsidR="00C246CF" w:rsidRPr="00C246CF" w:rsidRDefault="00C246CF" w:rsidP="00C246CF">
      <w:pPr>
        <w:shd w:val="clear" w:color="auto" w:fill="FFFFFF"/>
        <w:spacing w:line="240" w:lineRule="auto"/>
        <w:rPr>
          <w:rFonts w:ascii="Arial" w:eastAsia="Times New Roman" w:hAnsi="Arial" w:cs="Arial"/>
          <w:color w:val="000000"/>
          <w:sz w:val="24"/>
          <w:szCs w:val="24"/>
        </w:rPr>
      </w:pPr>
      <w:r w:rsidRPr="00C246CF">
        <w:rPr>
          <w:rFonts w:ascii="Arial" w:eastAsia="Times New Roman" w:hAnsi="Arial" w:cs="Arial"/>
          <w:color w:val="000000"/>
          <w:sz w:val="24"/>
          <w:szCs w:val="24"/>
        </w:rPr>
        <w:t>When observer requirements are waived, the agency monitors fishing effort, catch data and other relevant information to ensure that there are no significant adverse environmental consequences and consider alternative fishery management measures should such consequences arise.</w:t>
      </w:r>
    </w:p>
    <w:p w14:paraId="05A76DC0" w14:textId="699FC600" w:rsidR="008A442B" w:rsidRDefault="008A442B"/>
    <w:p w14:paraId="317BDED8" w14:textId="73BDFC36" w:rsidR="00C246CF" w:rsidRDefault="00C246CF">
      <w:r>
        <w:t xml:space="preserve">Website: </w:t>
      </w:r>
      <w:r w:rsidRPr="00C246CF">
        <w:t>https://www.fisheries.noaa.gov/action/noaa-fisheries-issues-emergency-action-continue-waive-observer-coverage</w:t>
      </w:r>
    </w:p>
    <w:sectPr w:rsidR="00C24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1E243A"/>
    <w:multiLevelType w:val="multilevel"/>
    <w:tmpl w:val="E7DA1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6CF"/>
    <w:rsid w:val="00692D10"/>
    <w:rsid w:val="008A442B"/>
    <w:rsid w:val="00C246CF"/>
    <w:rsid w:val="00F6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3D7C"/>
  <w15:chartTrackingRefBased/>
  <w15:docId w15:val="{C52CEBB0-4AE6-4FBD-9892-B5733DC90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246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246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6C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246CF"/>
    <w:rPr>
      <w:rFonts w:ascii="Times New Roman" w:eastAsia="Times New Roman" w:hAnsi="Times New Roman" w:cs="Times New Roman"/>
      <w:b/>
      <w:bCs/>
      <w:sz w:val="36"/>
      <w:szCs w:val="36"/>
    </w:rPr>
  </w:style>
  <w:style w:type="character" w:customStyle="1" w:styleId="content-headerlabel">
    <w:name w:val="content-header__label"/>
    <w:basedOn w:val="DefaultParagraphFont"/>
    <w:rsid w:val="00C246CF"/>
  </w:style>
  <w:style w:type="character" w:customStyle="1" w:styleId="content-headerdivider">
    <w:name w:val="content-header__divider"/>
    <w:basedOn w:val="DefaultParagraphFont"/>
    <w:rsid w:val="00C246CF"/>
  </w:style>
  <w:style w:type="character" w:customStyle="1" w:styleId="content-headerregion">
    <w:name w:val="content-header__region"/>
    <w:basedOn w:val="DefaultParagraphFont"/>
    <w:rsid w:val="00C246CF"/>
  </w:style>
  <w:style w:type="character" w:customStyle="1" w:styleId="national">
    <w:name w:val="national"/>
    <w:basedOn w:val="DefaultParagraphFont"/>
    <w:rsid w:val="00C246CF"/>
  </w:style>
  <w:style w:type="character" w:styleId="Hyperlink">
    <w:name w:val="Hyperlink"/>
    <w:basedOn w:val="DefaultParagraphFont"/>
    <w:uiPriority w:val="99"/>
    <w:semiHidden/>
    <w:unhideWhenUsed/>
    <w:rsid w:val="00C246CF"/>
    <w:rPr>
      <w:color w:val="0000FF"/>
      <w:u w:val="single"/>
    </w:rPr>
  </w:style>
  <w:style w:type="paragraph" w:styleId="NormalWeb">
    <w:name w:val="Normal (Web)"/>
    <w:basedOn w:val="Normal"/>
    <w:uiPriority w:val="99"/>
    <w:semiHidden/>
    <w:unhideWhenUsed/>
    <w:rsid w:val="00C246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3983503">
      <w:bodyDiv w:val="1"/>
      <w:marLeft w:val="0"/>
      <w:marRight w:val="0"/>
      <w:marTop w:val="0"/>
      <w:marBottom w:val="0"/>
      <w:divBdr>
        <w:top w:val="none" w:sz="0" w:space="0" w:color="auto"/>
        <w:left w:val="none" w:sz="0" w:space="0" w:color="auto"/>
        <w:bottom w:val="none" w:sz="0" w:space="0" w:color="auto"/>
        <w:right w:val="none" w:sz="0" w:space="0" w:color="auto"/>
      </w:divBdr>
      <w:divsChild>
        <w:div w:id="1458599750">
          <w:marLeft w:val="0"/>
          <w:marRight w:val="0"/>
          <w:marTop w:val="0"/>
          <w:marBottom w:val="0"/>
          <w:divBdr>
            <w:top w:val="none" w:sz="0" w:space="0" w:color="auto"/>
            <w:left w:val="none" w:sz="0" w:space="0" w:color="auto"/>
            <w:bottom w:val="none" w:sz="0" w:space="0" w:color="auto"/>
            <w:right w:val="none" w:sz="0" w:space="0" w:color="auto"/>
          </w:divBdr>
          <w:divsChild>
            <w:div w:id="1047030860">
              <w:marLeft w:val="0"/>
              <w:marRight w:val="0"/>
              <w:marTop w:val="600"/>
              <w:marBottom w:val="450"/>
              <w:divBdr>
                <w:top w:val="none" w:sz="0" w:space="0" w:color="auto"/>
                <w:left w:val="none" w:sz="0" w:space="0" w:color="auto"/>
                <w:bottom w:val="single" w:sz="6" w:space="23" w:color="C8CCD1"/>
                <w:right w:val="none" w:sz="0" w:space="0" w:color="auto"/>
              </w:divBdr>
              <w:divsChild>
                <w:div w:id="854416555">
                  <w:marLeft w:val="0"/>
                  <w:marRight w:val="0"/>
                  <w:marTop w:val="0"/>
                  <w:marBottom w:val="0"/>
                  <w:divBdr>
                    <w:top w:val="none" w:sz="0" w:space="0" w:color="auto"/>
                    <w:left w:val="none" w:sz="0" w:space="0" w:color="auto"/>
                    <w:bottom w:val="none" w:sz="0" w:space="0" w:color="auto"/>
                    <w:right w:val="none" w:sz="0" w:space="0" w:color="auto"/>
                  </w:divBdr>
                  <w:divsChild>
                    <w:div w:id="2023311690">
                      <w:marLeft w:val="0"/>
                      <w:marRight w:val="0"/>
                      <w:marTop w:val="0"/>
                      <w:marBottom w:val="0"/>
                      <w:divBdr>
                        <w:top w:val="none" w:sz="0" w:space="0" w:color="auto"/>
                        <w:left w:val="none" w:sz="0" w:space="0" w:color="auto"/>
                        <w:bottom w:val="none" w:sz="0" w:space="0" w:color="auto"/>
                        <w:right w:val="none" w:sz="0" w:space="0" w:color="auto"/>
                      </w:divBdr>
                      <w:divsChild>
                        <w:div w:id="62057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351981">
          <w:marLeft w:val="-225"/>
          <w:marRight w:val="-225"/>
          <w:marTop w:val="0"/>
          <w:marBottom w:val="0"/>
          <w:divBdr>
            <w:top w:val="none" w:sz="0" w:space="0" w:color="auto"/>
            <w:left w:val="none" w:sz="0" w:space="0" w:color="auto"/>
            <w:bottom w:val="none" w:sz="0" w:space="0" w:color="auto"/>
            <w:right w:val="none" w:sz="0" w:space="0" w:color="auto"/>
          </w:divBdr>
          <w:divsChild>
            <w:div w:id="1672222074">
              <w:marLeft w:val="0"/>
              <w:marRight w:val="0"/>
              <w:marTop w:val="0"/>
              <w:marBottom w:val="0"/>
              <w:divBdr>
                <w:top w:val="none" w:sz="0" w:space="0" w:color="auto"/>
                <w:left w:val="none" w:sz="0" w:space="0" w:color="auto"/>
                <w:bottom w:val="none" w:sz="0" w:space="0" w:color="auto"/>
                <w:right w:val="none" w:sz="0" w:space="0" w:color="auto"/>
              </w:divBdr>
              <w:divsChild>
                <w:div w:id="2133934230">
                  <w:marLeft w:val="0"/>
                  <w:marRight w:val="0"/>
                  <w:marTop w:val="0"/>
                  <w:marBottom w:val="300"/>
                  <w:divBdr>
                    <w:top w:val="single" w:sz="6" w:space="15" w:color="C8CCD1"/>
                    <w:left w:val="single" w:sz="6" w:space="15" w:color="C8CCD1"/>
                    <w:bottom w:val="single" w:sz="6" w:space="15" w:color="C8CCD1"/>
                    <w:right w:val="single" w:sz="6" w:space="15" w:color="C8CCD1"/>
                  </w:divBdr>
                  <w:divsChild>
                    <w:div w:id="1906136846">
                      <w:marLeft w:val="0"/>
                      <w:marRight w:val="0"/>
                      <w:marTop w:val="300"/>
                      <w:marBottom w:val="0"/>
                      <w:divBdr>
                        <w:top w:val="none" w:sz="0" w:space="0" w:color="auto"/>
                        <w:left w:val="none" w:sz="0" w:space="0" w:color="auto"/>
                        <w:bottom w:val="none" w:sz="0" w:space="0" w:color="auto"/>
                        <w:right w:val="none" w:sz="0" w:space="0" w:color="auto"/>
                      </w:divBdr>
                      <w:divsChild>
                        <w:div w:id="1964801370">
                          <w:marLeft w:val="0"/>
                          <w:marRight w:val="0"/>
                          <w:marTop w:val="0"/>
                          <w:marBottom w:val="30"/>
                          <w:divBdr>
                            <w:top w:val="none" w:sz="0" w:space="0" w:color="auto"/>
                            <w:left w:val="none" w:sz="0" w:space="0" w:color="auto"/>
                            <w:bottom w:val="none" w:sz="0" w:space="0" w:color="auto"/>
                            <w:right w:val="none" w:sz="0" w:space="0" w:color="auto"/>
                          </w:divBdr>
                        </w:div>
                        <w:div w:id="28192571">
                          <w:marLeft w:val="0"/>
                          <w:marRight w:val="0"/>
                          <w:marTop w:val="0"/>
                          <w:marBottom w:val="150"/>
                          <w:divBdr>
                            <w:top w:val="none" w:sz="0" w:space="0" w:color="auto"/>
                            <w:left w:val="none" w:sz="0" w:space="0" w:color="auto"/>
                            <w:bottom w:val="none" w:sz="0" w:space="0" w:color="auto"/>
                            <w:right w:val="none" w:sz="0" w:space="0" w:color="auto"/>
                          </w:divBdr>
                        </w:div>
                      </w:divsChild>
                    </w:div>
                    <w:div w:id="1353805466">
                      <w:marLeft w:val="0"/>
                      <w:marRight w:val="0"/>
                      <w:marTop w:val="300"/>
                      <w:marBottom w:val="0"/>
                      <w:divBdr>
                        <w:top w:val="none" w:sz="0" w:space="0" w:color="auto"/>
                        <w:left w:val="none" w:sz="0" w:space="0" w:color="auto"/>
                        <w:bottom w:val="none" w:sz="0" w:space="0" w:color="auto"/>
                        <w:right w:val="none" w:sz="0" w:space="0" w:color="auto"/>
                      </w:divBdr>
                      <w:divsChild>
                        <w:div w:id="1435588088">
                          <w:marLeft w:val="0"/>
                          <w:marRight w:val="0"/>
                          <w:marTop w:val="0"/>
                          <w:marBottom w:val="30"/>
                          <w:divBdr>
                            <w:top w:val="none" w:sz="0" w:space="0" w:color="auto"/>
                            <w:left w:val="none" w:sz="0" w:space="0" w:color="auto"/>
                            <w:bottom w:val="none" w:sz="0" w:space="0" w:color="auto"/>
                            <w:right w:val="none" w:sz="0" w:space="0" w:color="auto"/>
                          </w:divBdr>
                        </w:div>
                        <w:div w:id="780808948">
                          <w:marLeft w:val="0"/>
                          <w:marRight w:val="0"/>
                          <w:marTop w:val="0"/>
                          <w:marBottom w:val="150"/>
                          <w:divBdr>
                            <w:top w:val="none" w:sz="0" w:space="0" w:color="auto"/>
                            <w:left w:val="none" w:sz="0" w:space="0" w:color="auto"/>
                            <w:bottom w:val="none" w:sz="0" w:space="0" w:color="auto"/>
                            <w:right w:val="none" w:sz="0" w:space="0" w:color="auto"/>
                          </w:divBdr>
                        </w:div>
                      </w:divsChild>
                    </w:div>
                    <w:div w:id="1945337538">
                      <w:marLeft w:val="0"/>
                      <w:marRight w:val="0"/>
                      <w:marTop w:val="300"/>
                      <w:marBottom w:val="300"/>
                      <w:divBdr>
                        <w:top w:val="none" w:sz="0" w:space="0" w:color="auto"/>
                        <w:left w:val="none" w:sz="0" w:space="0" w:color="auto"/>
                        <w:bottom w:val="none" w:sz="0" w:space="0" w:color="auto"/>
                        <w:right w:val="none" w:sz="0" w:space="0" w:color="auto"/>
                      </w:divBdr>
                      <w:divsChild>
                        <w:div w:id="1026832107">
                          <w:marLeft w:val="0"/>
                          <w:marRight w:val="0"/>
                          <w:marTop w:val="0"/>
                          <w:marBottom w:val="30"/>
                          <w:divBdr>
                            <w:top w:val="none" w:sz="0" w:space="0" w:color="auto"/>
                            <w:left w:val="none" w:sz="0" w:space="0" w:color="auto"/>
                            <w:bottom w:val="none" w:sz="0" w:space="0" w:color="auto"/>
                            <w:right w:val="none" w:sz="0" w:space="0" w:color="auto"/>
                          </w:divBdr>
                        </w:div>
                        <w:div w:id="1932157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38978602">
              <w:marLeft w:val="0"/>
              <w:marRight w:val="0"/>
              <w:marTop w:val="0"/>
              <w:marBottom w:val="0"/>
              <w:divBdr>
                <w:top w:val="none" w:sz="0" w:space="0" w:color="auto"/>
                <w:left w:val="none" w:sz="0" w:space="0" w:color="auto"/>
                <w:bottom w:val="none" w:sz="0" w:space="0" w:color="auto"/>
                <w:right w:val="none" w:sz="0" w:space="0" w:color="auto"/>
              </w:divBdr>
              <w:divsChild>
                <w:div w:id="1580288118">
                  <w:marLeft w:val="0"/>
                  <w:marRight w:val="0"/>
                  <w:marTop w:val="0"/>
                  <w:marBottom w:val="0"/>
                  <w:divBdr>
                    <w:top w:val="none" w:sz="0" w:space="0" w:color="auto"/>
                    <w:left w:val="none" w:sz="0" w:space="0" w:color="auto"/>
                    <w:bottom w:val="none" w:sz="0" w:space="0" w:color="auto"/>
                    <w:right w:val="none" w:sz="0" w:space="0" w:color="auto"/>
                  </w:divBdr>
                  <w:divsChild>
                    <w:div w:id="498499165">
                      <w:marLeft w:val="0"/>
                      <w:marRight w:val="0"/>
                      <w:marTop w:val="0"/>
                      <w:marBottom w:val="450"/>
                      <w:divBdr>
                        <w:top w:val="none" w:sz="0" w:space="0" w:color="auto"/>
                        <w:left w:val="none" w:sz="0" w:space="0" w:color="auto"/>
                        <w:bottom w:val="single" w:sz="6" w:space="23" w:color="C8CCD1"/>
                        <w:right w:val="none" w:sz="0" w:space="0" w:color="auto"/>
                      </w:divBdr>
                      <w:divsChild>
                        <w:div w:id="213968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isheries.noaa.gov/abou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1</cp:revision>
  <dcterms:created xsi:type="dcterms:W3CDTF">2021-04-26T15:42:00Z</dcterms:created>
  <dcterms:modified xsi:type="dcterms:W3CDTF">2021-04-26T15:48:00Z</dcterms:modified>
</cp:coreProperties>
</file>