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94BB27" w14:textId="77777777" w:rsidR="002F5AD0" w:rsidRPr="00592D20" w:rsidRDefault="002F5AD0" w:rsidP="003D6F92">
      <w:pPr>
        <w:pStyle w:val="BodyText"/>
        <w:spacing w:after="0" w:line="360" w:lineRule="auto"/>
        <w:rPr>
          <w:sz w:val="24"/>
          <w:szCs w:val="24"/>
        </w:rPr>
      </w:pPr>
      <w:bookmarkStart w:id="0" w:name="_Hlk39732880"/>
    </w:p>
    <w:p w14:paraId="29DC837D" w14:textId="28CEAE78" w:rsidR="00D11473" w:rsidRPr="00592D20" w:rsidRDefault="008E20AC" w:rsidP="006E4DE8">
      <w:pPr>
        <w:pStyle w:val="BodyText"/>
        <w:spacing w:after="120" w:line="360" w:lineRule="auto"/>
        <w:ind w:firstLine="720"/>
        <w:rPr>
          <w:sz w:val="24"/>
          <w:szCs w:val="24"/>
        </w:rPr>
      </w:pPr>
      <w:r>
        <w:rPr>
          <w:sz w:val="24"/>
          <w:szCs w:val="24"/>
        </w:rPr>
        <w:t>A</w:t>
      </w:r>
      <w:r w:rsidR="00AD0A13" w:rsidRPr="00592D20">
        <w:rPr>
          <w:sz w:val="24"/>
          <w:szCs w:val="24"/>
        </w:rPr>
        <w:t xml:space="preserve"> </w:t>
      </w:r>
      <w:r w:rsidR="0034369D">
        <w:rPr>
          <w:sz w:val="24"/>
          <w:szCs w:val="24"/>
        </w:rPr>
        <w:t xml:space="preserve">joint </w:t>
      </w:r>
      <w:r w:rsidR="00B37D8C" w:rsidRPr="00592D20">
        <w:rPr>
          <w:sz w:val="24"/>
          <w:szCs w:val="24"/>
        </w:rPr>
        <w:t>m</w:t>
      </w:r>
      <w:r w:rsidR="00D11473" w:rsidRPr="00592D20">
        <w:rPr>
          <w:sz w:val="24"/>
          <w:szCs w:val="24"/>
        </w:rPr>
        <w:t xml:space="preserve">eeting of the NJ Marine Fisheries Council’s </w:t>
      </w:r>
      <w:r w:rsidR="00B37D8C" w:rsidRPr="00592D20">
        <w:rPr>
          <w:sz w:val="24"/>
          <w:szCs w:val="24"/>
        </w:rPr>
        <w:t xml:space="preserve">Recreational </w:t>
      </w:r>
      <w:r w:rsidR="00587FAF">
        <w:rPr>
          <w:sz w:val="24"/>
          <w:szCs w:val="24"/>
        </w:rPr>
        <w:t>Summer Flounder</w:t>
      </w:r>
      <w:r>
        <w:rPr>
          <w:sz w:val="24"/>
          <w:szCs w:val="24"/>
        </w:rPr>
        <w:t xml:space="preserve"> and Black Sea Bass/Scup </w:t>
      </w:r>
      <w:r w:rsidR="00B37D8C" w:rsidRPr="00592D20">
        <w:rPr>
          <w:sz w:val="24"/>
          <w:szCs w:val="24"/>
        </w:rPr>
        <w:t xml:space="preserve">Advisory </w:t>
      </w:r>
      <w:r w:rsidR="00D11473" w:rsidRPr="00592D20">
        <w:rPr>
          <w:sz w:val="24"/>
          <w:szCs w:val="24"/>
        </w:rPr>
        <w:t>Committee</w:t>
      </w:r>
      <w:r>
        <w:rPr>
          <w:sz w:val="24"/>
          <w:szCs w:val="24"/>
        </w:rPr>
        <w:t>s</w:t>
      </w:r>
      <w:r w:rsidR="00D11473" w:rsidRPr="00592D20">
        <w:rPr>
          <w:sz w:val="24"/>
          <w:szCs w:val="24"/>
        </w:rPr>
        <w:t xml:space="preserve"> </w:t>
      </w:r>
      <w:r w:rsidR="004979B2">
        <w:rPr>
          <w:sz w:val="24"/>
          <w:szCs w:val="24"/>
        </w:rPr>
        <w:t>were</w:t>
      </w:r>
      <w:r w:rsidR="006B4AA4" w:rsidRPr="00592D20">
        <w:rPr>
          <w:sz w:val="24"/>
          <w:szCs w:val="24"/>
        </w:rPr>
        <w:t xml:space="preserve"> </w:t>
      </w:r>
      <w:r w:rsidR="00D11473" w:rsidRPr="00592D20">
        <w:rPr>
          <w:sz w:val="24"/>
          <w:szCs w:val="24"/>
        </w:rPr>
        <w:t xml:space="preserve">held </w:t>
      </w:r>
      <w:r w:rsidR="00B37D8C" w:rsidRPr="00592D20">
        <w:rPr>
          <w:sz w:val="24"/>
          <w:szCs w:val="24"/>
        </w:rPr>
        <w:t xml:space="preserve">via webinar </w:t>
      </w:r>
      <w:r w:rsidR="002F5AD0" w:rsidRPr="00592D20">
        <w:rPr>
          <w:sz w:val="24"/>
          <w:szCs w:val="24"/>
        </w:rPr>
        <w:t xml:space="preserve">on </w:t>
      </w:r>
      <w:r w:rsidR="004979B2">
        <w:rPr>
          <w:sz w:val="24"/>
          <w:szCs w:val="24"/>
        </w:rPr>
        <w:t xml:space="preserve">January </w:t>
      </w:r>
      <w:r w:rsidR="009D4252">
        <w:rPr>
          <w:sz w:val="24"/>
          <w:szCs w:val="24"/>
        </w:rPr>
        <w:t>22,</w:t>
      </w:r>
      <w:r w:rsidR="004979B2">
        <w:rPr>
          <w:sz w:val="24"/>
          <w:szCs w:val="24"/>
        </w:rPr>
        <w:t xml:space="preserve"> </w:t>
      </w:r>
      <w:proofErr w:type="gramStart"/>
      <w:r w:rsidR="004979B2">
        <w:rPr>
          <w:sz w:val="24"/>
          <w:szCs w:val="24"/>
        </w:rPr>
        <w:t>202</w:t>
      </w:r>
      <w:r w:rsidR="009D4252">
        <w:rPr>
          <w:sz w:val="24"/>
          <w:szCs w:val="24"/>
        </w:rPr>
        <w:t>5</w:t>
      </w:r>
      <w:proofErr w:type="gramEnd"/>
      <w:r w:rsidR="004979B2" w:rsidRPr="00BA38A1">
        <w:rPr>
          <w:sz w:val="24"/>
          <w:szCs w:val="24"/>
        </w:rPr>
        <w:t xml:space="preserve"> </w:t>
      </w:r>
      <w:r w:rsidR="00D11473" w:rsidRPr="00592D20">
        <w:rPr>
          <w:sz w:val="24"/>
          <w:szCs w:val="24"/>
        </w:rPr>
        <w:t xml:space="preserve">to discuss </w:t>
      </w:r>
      <w:r w:rsidR="00164117">
        <w:rPr>
          <w:sz w:val="24"/>
          <w:szCs w:val="24"/>
        </w:rPr>
        <w:t xml:space="preserve">the Atlantic States Marine Fisheries Commissions Recreational Measures Setting Process Addenda.  This Addenda will define </w:t>
      </w:r>
      <w:r w:rsidR="006D322C">
        <w:rPr>
          <w:sz w:val="24"/>
          <w:szCs w:val="24"/>
        </w:rPr>
        <w:t xml:space="preserve">the process that will be used to set recreational </w:t>
      </w:r>
      <w:r w:rsidR="00DA2204">
        <w:rPr>
          <w:sz w:val="24"/>
          <w:szCs w:val="24"/>
        </w:rPr>
        <w:t xml:space="preserve">measures for the </w:t>
      </w:r>
      <w:r w:rsidR="00136BD8">
        <w:rPr>
          <w:sz w:val="24"/>
          <w:szCs w:val="24"/>
        </w:rPr>
        <w:t xml:space="preserve">Summer Flounder, Scup, and Black Sea Bass </w:t>
      </w:r>
      <w:r w:rsidR="00DA2204">
        <w:rPr>
          <w:sz w:val="24"/>
          <w:szCs w:val="24"/>
        </w:rPr>
        <w:t>fisheries in the future.</w:t>
      </w:r>
    </w:p>
    <w:p w14:paraId="26D085C4" w14:textId="4758385D" w:rsidR="00EA4DEC" w:rsidRPr="00592D20" w:rsidRDefault="003D6C0C" w:rsidP="00EA4DEC">
      <w:pPr>
        <w:pStyle w:val="BodyText"/>
        <w:spacing w:after="120" w:line="360" w:lineRule="auto"/>
        <w:rPr>
          <w:sz w:val="24"/>
          <w:szCs w:val="24"/>
        </w:rPr>
      </w:pPr>
      <w:r>
        <w:rPr>
          <w:b/>
          <w:bCs/>
          <w:sz w:val="24"/>
          <w:szCs w:val="24"/>
          <w:u w:val="single"/>
        </w:rPr>
        <w:t>Current Process</w:t>
      </w:r>
    </w:p>
    <w:bookmarkEnd w:id="0"/>
    <w:p w14:paraId="183C5779" w14:textId="4D9F0930" w:rsidR="00F64B32" w:rsidRDefault="00D33A9A" w:rsidP="00D33A9A">
      <w:pPr>
        <w:autoSpaceDE w:val="0"/>
        <w:autoSpaceDN w:val="0"/>
        <w:adjustRightInd w:val="0"/>
        <w:spacing w:line="480" w:lineRule="auto"/>
      </w:pPr>
      <w:r w:rsidRPr="00D33A9A">
        <w:t xml:space="preserve">The current process for setting recreational measures for these species, referred to as the Percent Change Approach, was implemented through the Harvest Control Rule Framework/Addenda in 2023. The goal of the Harvest Control Rule Framework/Addenda was to establish a process such that recreational measures aim to prevent overfishing, are reflective of stock status, appropriately account for uncertainty in the recreational data, take into consideration angler preferences, and provide an appropriate level of stability and predictability in changes from year to year.  The Council and the Commission agreed that the Percent Change Approach should </w:t>
      </w:r>
      <w:proofErr w:type="gramStart"/>
      <w:r w:rsidRPr="00D33A9A">
        <w:t>sunset</w:t>
      </w:r>
      <w:proofErr w:type="gramEnd"/>
      <w:r w:rsidRPr="00D33A9A">
        <w:t xml:space="preserve"> by the end of 2025 with the goal of implementing an improved long-term process for setting recreational measures, starting with the 2026 measures.</w:t>
      </w:r>
      <w:r w:rsidR="00FC1E5F">
        <w:t xml:space="preserve">  A copy of the Addenda can be found on the ASMFC web</w:t>
      </w:r>
      <w:r w:rsidR="00DB630D">
        <w:t>site; (</w:t>
      </w:r>
      <w:r w:rsidR="00DB630D" w:rsidRPr="00DB630D">
        <w:t>chrome-extension://efaidnbmnnnibpcajpcglclefindmkaj/https://asmfc.org/wp-content/uploads/2025/01/RecMeasuresSettingProcessDraftAddenda_PublicComment_Dec2024.pdf</w:t>
      </w:r>
      <w:r w:rsidR="00DB630D">
        <w:t>).</w:t>
      </w:r>
      <w:r w:rsidRPr="00D33A9A">
        <w:t xml:space="preserve">   The goal of the Recreational Measures Setting Process Addenda is to consider the process for setting recreational measures for summer flounder, scup, black sea bass, and bluefish for 2026 and beyond.</w:t>
      </w:r>
    </w:p>
    <w:p w14:paraId="3CD4D844" w14:textId="77777777" w:rsidR="00741783" w:rsidRDefault="00F64B32" w:rsidP="00D33A9A">
      <w:pPr>
        <w:autoSpaceDE w:val="0"/>
        <w:autoSpaceDN w:val="0"/>
        <w:adjustRightInd w:val="0"/>
        <w:spacing w:line="480" w:lineRule="auto"/>
        <w:rPr>
          <w:b/>
          <w:bCs/>
          <w:u w:val="single"/>
        </w:rPr>
      </w:pPr>
      <w:r w:rsidRPr="00F64B32">
        <w:rPr>
          <w:b/>
          <w:bCs/>
          <w:u w:val="single"/>
        </w:rPr>
        <w:t>Decision Point</w:t>
      </w:r>
      <w:r>
        <w:rPr>
          <w:b/>
          <w:bCs/>
          <w:u w:val="single"/>
        </w:rPr>
        <w:t xml:space="preserve"> and Public Comment</w:t>
      </w:r>
    </w:p>
    <w:p w14:paraId="690AB03C" w14:textId="16036D33" w:rsidR="00AE5F38" w:rsidRDefault="00741783" w:rsidP="00D33A9A">
      <w:pPr>
        <w:autoSpaceDE w:val="0"/>
        <w:autoSpaceDN w:val="0"/>
        <w:adjustRightInd w:val="0"/>
        <w:spacing w:line="480" w:lineRule="auto"/>
      </w:pPr>
      <w:r>
        <w:t xml:space="preserve">Because of the complex nature of the Addenda, Staff provided Council and Advisors with a brief </w:t>
      </w:r>
      <w:r w:rsidR="00B63F50">
        <w:t xml:space="preserve">overview of the addenda, a short presentation of the options, and the opportunity for Council </w:t>
      </w:r>
      <w:proofErr w:type="gramStart"/>
      <w:r w:rsidR="00B63F50">
        <w:t>and  Advisors</w:t>
      </w:r>
      <w:proofErr w:type="gramEnd"/>
      <w:r w:rsidR="00B63F50">
        <w:t xml:space="preserve"> to discuss </w:t>
      </w:r>
      <w:r w:rsidR="001F7DC2">
        <w:t xml:space="preserve">their preferred option amongst the group.  </w:t>
      </w:r>
      <w:r w:rsidR="00193DC7">
        <w:t xml:space="preserve">The Addenda includes 5 </w:t>
      </w:r>
      <w:proofErr w:type="gramStart"/>
      <w:r w:rsidR="00193DC7">
        <w:t>options;</w:t>
      </w:r>
      <w:proofErr w:type="gramEnd"/>
    </w:p>
    <w:p w14:paraId="515B3E72" w14:textId="77777777" w:rsidR="005D2F68" w:rsidRDefault="005D2F68" w:rsidP="005D2F68">
      <w:pPr>
        <w:autoSpaceDE w:val="0"/>
        <w:autoSpaceDN w:val="0"/>
        <w:adjustRightInd w:val="0"/>
        <w:spacing w:line="480" w:lineRule="auto"/>
        <w:ind w:left="720"/>
      </w:pPr>
    </w:p>
    <w:p w14:paraId="1C8C42B9" w14:textId="5F9424F9" w:rsidR="00193DC7" w:rsidRPr="00193DC7" w:rsidRDefault="00193DC7" w:rsidP="00193DC7">
      <w:pPr>
        <w:numPr>
          <w:ilvl w:val="0"/>
          <w:numId w:val="8"/>
        </w:numPr>
        <w:autoSpaceDE w:val="0"/>
        <w:autoSpaceDN w:val="0"/>
        <w:adjustRightInd w:val="0"/>
        <w:spacing w:line="480" w:lineRule="auto"/>
      </w:pPr>
      <w:r w:rsidRPr="00193DC7">
        <w:t xml:space="preserve">A: </w:t>
      </w:r>
      <w:r>
        <w:t>The pre</w:t>
      </w:r>
      <w:r w:rsidR="00D57E84">
        <w:t xml:space="preserve">viously used method where all individual States would </w:t>
      </w:r>
      <w:r w:rsidR="00A467F9">
        <w:t>design their own methodology for technical committee approval each year for their list of options.</w:t>
      </w:r>
    </w:p>
    <w:p w14:paraId="4BE8821B" w14:textId="55909D63" w:rsidR="00193DC7" w:rsidRPr="00193DC7" w:rsidRDefault="00193DC7" w:rsidP="00193DC7">
      <w:pPr>
        <w:numPr>
          <w:ilvl w:val="0"/>
          <w:numId w:val="8"/>
        </w:numPr>
        <w:autoSpaceDE w:val="0"/>
        <w:autoSpaceDN w:val="0"/>
        <w:adjustRightInd w:val="0"/>
        <w:spacing w:line="480" w:lineRule="auto"/>
      </w:pPr>
      <w:r w:rsidRPr="00193DC7">
        <w:t xml:space="preserve">B: </w:t>
      </w:r>
      <w:r w:rsidR="00EC5EEE">
        <w:t xml:space="preserve">Percent Change Approach which is what we are </w:t>
      </w:r>
      <w:r w:rsidRPr="00193DC7">
        <w:t>current</w:t>
      </w:r>
      <w:r w:rsidR="00EC5EEE">
        <w:t>ly using within the Harvest Control Rules.</w:t>
      </w:r>
    </w:p>
    <w:p w14:paraId="31D429EA" w14:textId="11A6EBDA" w:rsidR="00193DC7" w:rsidRPr="00193DC7" w:rsidRDefault="00193DC7" w:rsidP="00193DC7">
      <w:pPr>
        <w:numPr>
          <w:ilvl w:val="0"/>
          <w:numId w:val="8"/>
        </w:numPr>
        <w:autoSpaceDE w:val="0"/>
        <w:autoSpaceDN w:val="0"/>
        <w:adjustRightInd w:val="0"/>
        <w:spacing w:line="480" w:lineRule="auto"/>
      </w:pPr>
      <w:r w:rsidRPr="00193DC7">
        <w:t xml:space="preserve">C: </w:t>
      </w:r>
      <w:r w:rsidR="0045562F">
        <w:t xml:space="preserve">Modified </w:t>
      </w:r>
      <w:r w:rsidR="00697CB8">
        <w:t>Percent Change Approach using RHL and Harvest.</w:t>
      </w:r>
    </w:p>
    <w:p w14:paraId="3358C343" w14:textId="4F39DCC3" w:rsidR="00193DC7" w:rsidRPr="00193DC7" w:rsidRDefault="00193DC7" w:rsidP="00193DC7">
      <w:pPr>
        <w:numPr>
          <w:ilvl w:val="0"/>
          <w:numId w:val="8"/>
        </w:numPr>
        <w:autoSpaceDE w:val="0"/>
        <w:autoSpaceDN w:val="0"/>
        <w:adjustRightInd w:val="0"/>
        <w:spacing w:line="480" w:lineRule="auto"/>
      </w:pPr>
      <w:r w:rsidRPr="00193DC7">
        <w:t xml:space="preserve">D: </w:t>
      </w:r>
      <w:r w:rsidR="00697CB8">
        <w:t>Modified Percent Change Approach using ACT and Catch.</w:t>
      </w:r>
    </w:p>
    <w:p w14:paraId="6F479F3A" w14:textId="49DF99F2" w:rsidR="00193DC7" w:rsidRDefault="00193DC7" w:rsidP="00193DC7">
      <w:pPr>
        <w:numPr>
          <w:ilvl w:val="0"/>
          <w:numId w:val="8"/>
        </w:numPr>
        <w:autoSpaceDE w:val="0"/>
        <w:autoSpaceDN w:val="0"/>
        <w:adjustRightInd w:val="0"/>
        <w:spacing w:line="480" w:lineRule="auto"/>
      </w:pPr>
      <w:r w:rsidRPr="00193DC7">
        <w:t>E: Biomass &amp; Fishing mortality matrix approach</w:t>
      </w:r>
      <w:r w:rsidR="00533844">
        <w:t>.</w:t>
      </w:r>
    </w:p>
    <w:p w14:paraId="0012FBF7" w14:textId="6377C498" w:rsidR="00193DC7" w:rsidRPr="00193DC7" w:rsidRDefault="00533844" w:rsidP="00533844">
      <w:pPr>
        <w:autoSpaceDE w:val="0"/>
        <w:autoSpaceDN w:val="0"/>
        <w:adjustRightInd w:val="0"/>
        <w:spacing w:line="480" w:lineRule="auto"/>
      </w:pPr>
      <w:r>
        <w:t>Advisors were decidedly in favor of Option C</w:t>
      </w:r>
      <w:r w:rsidR="0029372B">
        <w:t xml:space="preserve"> where the current Harvest Control Rules would still be implemented but with the added functionality of </w:t>
      </w:r>
      <w:r w:rsidR="00542DA8">
        <w:t>using the RHL and Harvest to determine</w:t>
      </w:r>
      <w:r w:rsidR="00BB3CF7">
        <w:t xml:space="preserve"> </w:t>
      </w:r>
      <w:r w:rsidR="007E543A">
        <w:t>the Percent Change.  T</w:t>
      </w:r>
      <w:r w:rsidR="007E543A" w:rsidRPr="007E543A">
        <w:t xml:space="preserve">his option adds an additional biomass category (i.e., around the target), treats overfished stocks separately, and adds more opportunities for status quo harvest levels.  As with the currently implemented Percent Change Approach, recreational measures under this option must aim to achieve a specified percent change in harvest compared to the expectation of harvest in the upcoming two years under current measures. The resulting value of harvest in pounds is referred to as the harvest target. </w:t>
      </w:r>
      <w:r w:rsidR="00542DA8">
        <w:t xml:space="preserve"> </w:t>
      </w:r>
    </w:p>
    <w:p w14:paraId="1DBDF618" w14:textId="45556931" w:rsidR="00193DC7" w:rsidRDefault="00A8162E" w:rsidP="00D33A9A">
      <w:pPr>
        <w:autoSpaceDE w:val="0"/>
        <w:autoSpaceDN w:val="0"/>
        <w:adjustRightInd w:val="0"/>
        <w:spacing w:line="480" w:lineRule="auto"/>
      </w:pPr>
      <w:proofErr w:type="gramStart"/>
      <w:r>
        <w:t>Attendance;</w:t>
      </w:r>
      <w:proofErr w:type="gramEnd"/>
    </w:p>
    <w:p w14:paraId="440E1D81" w14:textId="2DA3DFEB" w:rsidR="00A8162E" w:rsidRDefault="00A8162E" w:rsidP="00D33A9A">
      <w:pPr>
        <w:autoSpaceDE w:val="0"/>
        <w:autoSpaceDN w:val="0"/>
        <w:adjustRightInd w:val="0"/>
        <w:spacing w:line="480" w:lineRule="auto"/>
      </w:pPr>
      <w:r>
        <w:t xml:space="preserve">Staff-Jeffrey Brust, </w:t>
      </w:r>
      <w:r w:rsidR="002A2B67">
        <w:t xml:space="preserve">Heather Corbett, Joseph Cimino, Michael Celestino, Peter </w:t>
      </w:r>
      <w:r w:rsidR="003804F1">
        <w:t>Clarke.</w:t>
      </w:r>
    </w:p>
    <w:p w14:paraId="4E3925FD" w14:textId="57B67A68" w:rsidR="003804F1" w:rsidRDefault="003804F1" w:rsidP="00D33A9A">
      <w:pPr>
        <w:autoSpaceDE w:val="0"/>
        <w:autoSpaceDN w:val="0"/>
        <w:adjustRightInd w:val="0"/>
        <w:spacing w:line="480" w:lineRule="auto"/>
      </w:pPr>
      <w:r>
        <w:t xml:space="preserve">Council-Bob Rush, Eleanor </w:t>
      </w:r>
      <w:proofErr w:type="spellStart"/>
      <w:r>
        <w:t>Bo</w:t>
      </w:r>
      <w:r w:rsidR="00800A45">
        <w:t>c</w:t>
      </w:r>
      <w:r>
        <w:t>hanick</w:t>
      </w:r>
      <w:proofErr w:type="spellEnd"/>
      <w:r w:rsidR="00800A45">
        <w:t xml:space="preserve">, Jeff Kaelin, </w:t>
      </w:r>
      <w:r w:rsidR="0034369D">
        <w:t>Pat Donnelly.</w:t>
      </w:r>
    </w:p>
    <w:p w14:paraId="4AD490B7" w14:textId="6C0F4B90" w:rsidR="0034369D" w:rsidRPr="00F64B32" w:rsidRDefault="0034369D" w:rsidP="00D33A9A">
      <w:pPr>
        <w:autoSpaceDE w:val="0"/>
        <w:autoSpaceDN w:val="0"/>
        <w:adjustRightInd w:val="0"/>
        <w:spacing w:line="480" w:lineRule="auto"/>
      </w:pPr>
      <w:r>
        <w:t xml:space="preserve">Advisors- Adam </w:t>
      </w:r>
      <w:proofErr w:type="spellStart"/>
      <w:r>
        <w:t>Nowalski</w:t>
      </w:r>
      <w:proofErr w:type="spellEnd"/>
      <w:r>
        <w:t xml:space="preserve">, Bob Cope, </w:t>
      </w:r>
      <w:r w:rsidR="00C622C6">
        <w:t xml:space="preserve">Greg Hueth, John Toth, Mickey Sherry, Paul Haertel, Peter Belasco, Ray Bogan, Stephen </w:t>
      </w:r>
      <w:proofErr w:type="spellStart"/>
      <w:r w:rsidR="00C622C6">
        <w:t>Machal</w:t>
      </w:r>
      <w:r w:rsidR="00972494">
        <w:t>aba</w:t>
      </w:r>
      <w:proofErr w:type="spellEnd"/>
      <w:r w:rsidR="00972494">
        <w:t>, Tom Daffin, Tony Butch, Victor Hartley.</w:t>
      </w:r>
    </w:p>
    <w:sectPr w:rsidR="0034369D" w:rsidRPr="00F64B32" w:rsidSect="00301720">
      <w:headerReference w:type="default" r:id="rId7"/>
      <w:pgSz w:w="12240" w:h="15840"/>
      <w:pgMar w:top="1440"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2D024E" w14:textId="77777777" w:rsidR="003D5286" w:rsidRDefault="003D5286">
      <w:r>
        <w:separator/>
      </w:r>
    </w:p>
  </w:endnote>
  <w:endnote w:type="continuationSeparator" w:id="0">
    <w:p w14:paraId="5CCF2C1C" w14:textId="77777777" w:rsidR="003D5286" w:rsidRDefault="003D52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601C59" w14:textId="77777777" w:rsidR="003D5286" w:rsidRDefault="003D5286">
      <w:r>
        <w:separator/>
      </w:r>
    </w:p>
  </w:footnote>
  <w:footnote w:type="continuationSeparator" w:id="0">
    <w:p w14:paraId="17F64268" w14:textId="77777777" w:rsidR="003D5286" w:rsidRDefault="003D52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6BD539" w14:textId="597C10C9" w:rsidR="00E32B12" w:rsidRDefault="00B4019F" w:rsidP="00170014">
    <w:pPr>
      <w:jc w:val="center"/>
      <w:rPr>
        <w:b/>
        <w:sz w:val="28"/>
        <w:szCs w:val="28"/>
      </w:rPr>
    </w:pPr>
    <w:r>
      <w:rPr>
        <w:b/>
        <w:sz w:val="28"/>
        <w:szCs w:val="28"/>
      </w:rPr>
      <w:t xml:space="preserve">New Jersey Marine Fisheries Council Recreational </w:t>
    </w:r>
    <w:r w:rsidR="00596694">
      <w:rPr>
        <w:b/>
        <w:sz w:val="28"/>
        <w:szCs w:val="28"/>
      </w:rPr>
      <w:t>Summer Flounder, Scup, Black Sea Bass</w:t>
    </w:r>
    <w:r w:rsidR="00212321">
      <w:rPr>
        <w:b/>
        <w:sz w:val="28"/>
        <w:szCs w:val="28"/>
      </w:rPr>
      <w:t xml:space="preserve"> </w:t>
    </w:r>
    <w:r w:rsidR="00B37D8C">
      <w:rPr>
        <w:b/>
        <w:sz w:val="28"/>
        <w:szCs w:val="28"/>
      </w:rPr>
      <w:t xml:space="preserve">Advisory </w:t>
    </w:r>
    <w:r>
      <w:rPr>
        <w:b/>
        <w:sz w:val="28"/>
        <w:szCs w:val="28"/>
      </w:rPr>
      <w:t>Committee Report</w:t>
    </w:r>
  </w:p>
  <w:p w14:paraId="20DF8A6E" w14:textId="743E8548" w:rsidR="00E32B12" w:rsidRDefault="00A85BD5" w:rsidP="00170014">
    <w:pPr>
      <w:jc w:val="center"/>
    </w:pPr>
    <w:r>
      <w:t xml:space="preserve">March </w:t>
    </w:r>
    <w:r w:rsidR="00FC54B6">
      <w:t>6</w:t>
    </w:r>
    <w:r w:rsidR="00D76162">
      <w:t>, 202</w:t>
    </w:r>
    <w:r w:rsidR="005D2F68">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86F3D"/>
    <w:multiLevelType w:val="hybridMultilevel"/>
    <w:tmpl w:val="D996051E"/>
    <w:lvl w:ilvl="0" w:tplc="106C5F8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6295588"/>
    <w:multiLevelType w:val="hybridMultilevel"/>
    <w:tmpl w:val="167CE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925020"/>
    <w:multiLevelType w:val="hybridMultilevel"/>
    <w:tmpl w:val="AF26EE72"/>
    <w:lvl w:ilvl="0" w:tplc="36420352">
      <w:numFmt w:val="bullet"/>
      <w:lvlText w:val="-"/>
      <w:lvlJc w:val="left"/>
      <w:pPr>
        <w:ind w:left="720" w:hanging="360"/>
      </w:pPr>
      <w:rPr>
        <w:rFonts w:ascii="Times New Roman" w:eastAsia="Times New Roman" w:hAnsi="Times New Roman" w:cs="Times New Roman"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BBC5AD8"/>
    <w:multiLevelType w:val="hybridMultilevel"/>
    <w:tmpl w:val="C680963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6D17054"/>
    <w:multiLevelType w:val="hybridMultilevel"/>
    <w:tmpl w:val="A850B2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BF76D82"/>
    <w:multiLevelType w:val="hybridMultilevel"/>
    <w:tmpl w:val="B4129040"/>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5412A66"/>
    <w:multiLevelType w:val="hybridMultilevel"/>
    <w:tmpl w:val="8064E052"/>
    <w:lvl w:ilvl="0" w:tplc="424CC5C6">
      <w:start w:val="1"/>
      <w:numFmt w:val="bullet"/>
      <w:lvlText w:val="•"/>
      <w:lvlJc w:val="left"/>
      <w:pPr>
        <w:tabs>
          <w:tab w:val="num" w:pos="720"/>
        </w:tabs>
        <w:ind w:left="720" w:hanging="360"/>
      </w:pPr>
      <w:rPr>
        <w:rFonts w:ascii="Arial" w:hAnsi="Arial" w:hint="default"/>
      </w:rPr>
    </w:lvl>
    <w:lvl w:ilvl="1" w:tplc="D0FA7BF0" w:tentative="1">
      <w:start w:val="1"/>
      <w:numFmt w:val="bullet"/>
      <w:lvlText w:val="•"/>
      <w:lvlJc w:val="left"/>
      <w:pPr>
        <w:tabs>
          <w:tab w:val="num" w:pos="1440"/>
        </w:tabs>
        <w:ind w:left="1440" w:hanging="360"/>
      </w:pPr>
      <w:rPr>
        <w:rFonts w:ascii="Arial" w:hAnsi="Arial" w:hint="default"/>
      </w:rPr>
    </w:lvl>
    <w:lvl w:ilvl="2" w:tplc="3A623A48" w:tentative="1">
      <w:start w:val="1"/>
      <w:numFmt w:val="bullet"/>
      <w:lvlText w:val="•"/>
      <w:lvlJc w:val="left"/>
      <w:pPr>
        <w:tabs>
          <w:tab w:val="num" w:pos="2160"/>
        </w:tabs>
        <w:ind w:left="2160" w:hanging="360"/>
      </w:pPr>
      <w:rPr>
        <w:rFonts w:ascii="Arial" w:hAnsi="Arial" w:hint="default"/>
      </w:rPr>
    </w:lvl>
    <w:lvl w:ilvl="3" w:tplc="66D69188" w:tentative="1">
      <w:start w:val="1"/>
      <w:numFmt w:val="bullet"/>
      <w:lvlText w:val="•"/>
      <w:lvlJc w:val="left"/>
      <w:pPr>
        <w:tabs>
          <w:tab w:val="num" w:pos="2880"/>
        </w:tabs>
        <w:ind w:left="2880" w:hanging="360"/>
      </w:pPr>
      <w:rPr>
        <w:rFonts w:ascii="Arial" w:hAnsi="Arial" w:hint="default"/>
      </w:rPr>
    </w:lvl>
    <w:lvl w:ilvl="4" w:tplc="A5EAB058" w:tentative="1">
      <w:start w:val="1"/>
      <w:numFmt w:val="bullet"/>
      <w:lvlText w:val="•"/>
      <w:lvlJc w:val="left"/>
      <w:pPr>
        <w:tabs>
          <w:tab w:val="num" w:pos="3600"/>
        </w:tabs>
        <w:ind w:left="3600" w:hanging="360"/>
      </w:pPr>
      <w:rPr>
        <w:rFonts w:ascii="Arial" w:hAnsi="Arial" w:hint="default"/>
      </w:rPr>
    </w:lvl>
    <w:lvl w:ilvl="5" w:tplc="CEC61E08" w:tentative="1">
      <w:start w:val="1"/>
      <w:numFmt w:val="bullet"/>
      <w:lvlText w:val="•"/>
      <w:lvlJc w:val="left"/>
      <w:pPr>
        <w:tabs>
          <w:tab w:val="num" w:pos="4320"/>
        </w:tabs>
        <w:ind w:left="4320" w:hanging="360"/>
      </w:pPr>
      <w:rPr>
        <w:rFonts w:ascii="Arial" w:hAnsi="Arial" w:hint="default"/>
      </w:rPr>
    </w:lvl>
    <w:lvl w:ilvl="6" w:tplc="8D94DEDE" w:tentative="1">
      <w:start w:val="1"/>
      <w:numFmt w:val="bullet"/>
      <w:lvlText w:val="•"/>
      <w:lvlJc w:val="left"/>
      <w:pPr>
        <w:tabs>
          <w:tab w:val="num" w:pos="5040"/>
        </w:tabs>
        <w:ind w:left="5040" w:hanging="360"/>
      </w:pPr>
      <w:rPr>
        <w:rFonts w:ascii="Arial" w:hAnsi="Arial" w:hint="default"/>
      </w:rPr>
    </w:lvl>
    <w:lvl w:ilvl="7" w:tplc="9454CE52" w:tentative="1">
      <w:start w:val="1"/>
      <w:numFmt w:val="bullet"/>
      <w:lvlText w:val="•"/>
      <w:lvlJc w:val="left"/>
      <w:pPr>
        <w:tabs>
          <w:tab w:val="num" w:pos="5760"/>
        </w:tabs>
        <w:ind w:left="5760" w:hanging="360"/>
      </w:pPr>
      <w:rPr>
        <w:rFonts w:ascii="Arial" w:hAnsi="Arial" w:hint="default"/>
      </w:rPr>
    </w:lvl>
    <w:lvl w:ilvl="8" w:tplc="C7164C1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6A0766CD"/>
    <w:multiLevelType w:val="hybridMultilevel"/>
    <w:tmpl w:val="52A29826"/>
    <w:lvl w:ilvl="0" w:tplc="DE32D3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097439149">
    <w:abstractNumId w:val="5"/>
  </w:num>
  <w:num w:numId="2" w16cid:durableId="1044912525">
    <w:abstractNumId w:val="3"/>
  </w:num>
  <w:num w:numId="3" w16cid:durableId="1862473506">
    <w:abstractNumId w:val="1"/>
  </w:num>
  <w:num w:numId="4" w16cid:durableId="1171989284">
    <w:abstractNumId w:val="7"/>
  </w:num>
  <w:num w:numId="5" w16cid:durableId="649406091">
    <w:abstractNumId w:val="0"/>
  </w:num>
  <w:num w:numId="6" w16cid:durableId="689339722">
    <w:abstractNumId w:val="2"/>
  </w:num>
  <w:num w:numId="7" w16cid:durableId="132720371">
    <w:abstractNumId w:val="4"/>
  </w:num>
  <w:num w:numId="8" w16cid:durableId="85407928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E9C"/>
    <w:rsid w:val="00011BD9"/>
    <w:rsid w:val="000450BC"/>
    <w:rsid w:val="0004748A"/>
    <w:rsid w:val="00047F48"/>
    <w:rsid w:val="00051E8B"/>
    <w:rsid w:val="00054F96"/>
    <w:rsid w:val="00067F79"/>
    <w:rsid w:val="000823AE"/>
    <w:rsid w:val="000942F5"/>
    <w:rsid w:val="000B264B"/>
    <w:rsid w:val="000C1BEB"/>
    <w:rsid w:val="000C1D07"/>
    <w:rsid w:val="000C4F97"/>
    <w:rsid w:val="000D3D78"/>
    <w:rsid w:val="000F1DF0"/>
    <w:rsid w:val="00102C35"/>
    <w:rsid w:val="00105414"/>
    <w:rsid w:val="00112DDE"/>
    <w:rsid w:val="00130084"/>
    <w:rsid w:val="00136BD8"/>
    <w:rsid w:val="0014010C"/>
    <w:rsid w:val="00141EB2"/>
    <w:rsid w:val="00142997"/>
    <w:rsid w:val="00152C08"/>
    <w:rsid w:val="001547F1"/>
    <w:rsid w:val="00156CF5"/>
    <w:rsid w:val="00160798"/>
    <w:rsid w:val="00164117"/>
    <w:rsid w:val="0016717F"/>
    <w:rsid w:val="00170014"/>
    <w:rsid w:val="00184905"/>
    <w:rsid w:val="001914E1"/>
    <w:rsid w:val="00193DC7"/>
    <w:rsid w:val="001A1A6B"/>
    <w:rsid w:val="001A2E5A"/>
    <w:rsid w:val="001A3125"/>
    <w:rsid w:val="001A76D0"/>
    <w:rsid w:val="001A7BCE"/>
    <w:rsid w:val="001B17D7"/>
    <w:rsid w:val="001B2EE9"/>
    <w:rsid w:val="001B47BA"/>
    <w:rsid w:val="001B4BC3"/>
    <w:rsid w:val="001B519A"/>
    <w:rsid w:val="001B5F41"/>
    <w:rsid w:val="001C2E9C"/>
    <w:rsid w:val="001C33C9"/>
    <w:rsid w:val="001D59AF"/>
    <w:rsid w:val="001D6D59"/>
    <w:rsid w:val="001D7AFF"/>
    <w:rsid w:val="001E611E"/>
    <w:rsid w:val="001F2537"/>
    <w:rsid w:val="001F4BE6"/>
    <w:rsid w:val="001F6400"/>
    <w:rsid w:val="001F74D9"/>
    <w:rsid w:val="001F7DC2"/>
    <w:rsid w:val="00200FD6"/>
    <w:rsid w:val="00204172"/>
    <w:rsid w:val="00211929"/>
    <w:rsid w:val="00212321"/>
    <w:rsid w:val="00212FA3"/>
    <w:rsid w:val="00217908"/>
    <w:rsid w:val="00231C9F"/>
    <w:rsid w:val="00245C03"/>
    <w:rsid w:val="0025372B"/>
    <w:rsid w:val="00256ABA"/>
    <w:rsid w:val="00270334"/>
    <w:rsid w:val="00287AE0"/>
    <w:rsid w:val="0029372B"/>
    <w:rsid w:val="002A200B"/>
    <w:rsid w:val="002A2B67"/>
    <w:rsid w:val="002A31D9"/>
    <w:rsid w:val="002A4F7B"/>
    <w:rsid w:val="002A7B11"/>
    <w:rsid w:val="002B1347"/>
    <w:rsid w:val="002C0D67"/>
    <w:rsid w:val="002D1753"/>
    <w:rsid w:val="002D4034"/>
    <w:rsid w:val="002D6C5E"/>
    <w:rsid w:val="002E273F"/>
    <w:rsid w:val="002F5AD0"/>
    <w:rsid w:val="002F701C"/>
    <w:rsid w:val="00301720"/>
    <w:rsid w:val="003119E8"/>
    <w:rsid w:val="00311D7F"/>
    <w:rsid w:val="0031761A"/>
    <w:rsid w:val="00322304"/>
    <w:rsid w:val="003244D2"/>
    <w:rsid w:val="00340193"/>
    <w:rsid w:val="0034369D"/>
    <w:rsid w:val="003464BF"/>
    <w:rsid w:val="00350D9A"/>
    <w:rsid w:val="003804F1"/>
    <w:rsid w:val="00390E65"/>
    <w:rsid w:val="003A535D"/>
    <w:rsid w:val="003B6C19"/>
    <w:rsid w:val="003D0A03"/>
    <w:rsid w:val="003D453F"/>
    <w:rsid w:val="003D467D"/>
    <w:rsid w:val="003D5286"/>
    <w:rsid w:val="003D6C0C"/>
    <w:rsid w:val="003D6F92"/>
    <w:rsid w:val="003E72E3"/>
    <w:rsid w:val="003F3326"/>
    <w:rsid w:val="00410BED"/>
    <w:rsid w:val="00417383"/>
    <w:rsid w:val="00424FEB"/>
    <w:rsid w:val="00430D43"/>
    <w:rsid w:val="0043183A"/>
    <w:rsid w:val="00442E5B"/>
    <w:rsid w:val="004514F9"/>
    <w:rsid w:val="00451DA4"/>
    <w:rsid w:val="0045562F"/>
    <w:rsid w:val="00457F3B"/>
    <w:rsid w:val="004729CA"/>
    <w:rsid w:val="00474657"/>
    <w:rsid w:val="00475FDA"/>
    <w:rsid w:val="004928A5"/>
    <w:rsid w:val="004979B2"/>
    <w:rsid w:val="004B0F03"/>
    <w:rsid w:val="004C54B0"/>
    <w:rsid w:val="004C67A0"/>
    <w:rsid w:val="004D671F"/>
    <w:rsid w:val="004E7124"/>
    <w:rsid w:val="004F1DDE"/>
    <w:rsid w:val="004F422E"/>
    <w:rsid w:val="005071F5"/>
    <w:rsid w:val="00513928"/>
    <w:rsid w:val="0053083C"/>
    <w:rsid w:val="00530B33"/>
    <w:rsid w:val="00533844"/>
    <w:rsid w:val="005338AF"/>
    <w:rsid w:val="0053506A"/>
    <w:rsid w:val="00541A13"/>
    <w:rsid w:val="00542185"/>
    <w:rsid w:val="00542DA8"/>
    <w:rsid w:val="00555A52"/>
    <w:rsid w:val="00556DAE"/>
    <w:rsid w:val="00563187"/>
    <w:rsid w:val="00564DCB"/>
    <w:rsid w:val="00587FAF"/>
    <w:rsid w:val="00592D20"/>
    <w:rsid w:val="00596694"/>
    <w:rsid w:val="005A2109"/>
    <w:rsid w:val="005A232A"/>
    <w:rsid w:val="005A7189"/>
    <w:rsid w:val="005B19E5"/>
    <w:rsid w:val="005C72DB"/>
    <w:rsid w:val="005D2F68"/>
    <w:rsid w:val="005D3EF9"/>
    <w:rsid w:val="005D62C6"/>
    <w:rsid w:val="005E02F9"/>
    <w:rsid w:val="005F2609"/>
    <w:rsid w:val="005F5F1D"/>
    <w:rsid w:val="00606FEC"/>
    <w:rsid w:val="006206B6"/>
    <w:rsid w:val="00627F54"/>
    <w:rsid w:val="00637B68"/>
    <w:rsid w:val="006529A4"/>
    <w:rsid w:val="006712AD"/>
    <w:rsid w:val="006716B9"/>
    <w:rsid w:val="006779BD"/>
    <w:rsid w:val="00680CAE"/>
    <w:rsid w:val="00683568"/>
    <w:rsid w:val="00696D4D"/>
    <w:rsid w:val="00697CB8"/>
    <w:rsid w:val="006B0E29"/>
    <w:rsid w:val="006B4AA4"/>
    <w:rsid w:val="006B67ED"/>
    <w:rsid w:val="006C5838"/>
    <w:rsid w:val="006C7D91"/>
    <w:rsid w:val="006D322C"/>
    <w:rsid w:val="006E2BF8"/>
    <w:rsid w:val="006E3C26"/>
    <w:rsid w:val="006E4DE8"/>
    <w:rsid w:val="006E6590"/>
    <w:rsid w:val="006F77F1"/>
    <w:rsid w:val="007051A9"/>
    <w:rsid w:val="00705953"/>
    <w:rsid w:val="00710488"/>
    <w:rsid w:val="00717CBA"/>
    <w:rsid w:val="00741783"/>
    <w:rsid w:val="007419EB"/>
    <w:rsid w:val="007519F5"/>
    <w:rsid w:val="00765D5A"/>
    <w:rsid w:val="00772565"/>
    <w:rsid w:val="007765A2"/>
    <w:rsid w:val="00782383"/>
    <w:rsid w:val="0078377E"/>
    <w:rsid w:val="007841BC"/>
    <w:rsid w:val="007912CC"/>
    <w:rsid w:val="00792B06"/>
    <w:rsid w:val="00794451"/>
    <w:rsid w:val="007A0FA0"/>
    <w:rsid w:val="007A406F"/>
    <w:rsid w:val="007A632E"/>
    <w:rsid w:val="007A713B"/>
    <w:rsid w:val="007B25FD"/>
    <w:rsid w:val="007C66B7"/>
    <w:rsid w:val="007E543A"/>
    <w:rsid w:val="007F6F85"/>
    <w:rsid w:val="00800A45"/>
    <w:rsid w:val="00800E34"/>
    <w:rsid w:val="00801969"/>
    <w:rsid w:val="00803BB7"/>
    <w:rsid w:val="0080447B"/>
    <w:rsid w:val="00804D3E"/>
    <w:rsid w:val="00805D1C"/>
    <w:rsid w:val="00823FE5"/>
    <w:rsid w:val="00824B19"/>
    <w:rsid w:val="0082513F"/>
    <w:rsid w:val="00837E69"/>
    <w:rsid w:val="008403C9"/>
    <w:rsid w:val="0084059B"/>
    <w:rsid w:val="00846669"/>
    <w:rsid w:val="00854014"/>
    <w:rsid w:val="00863329"/>
    <w:rsid w:val="00864E8B"/>
    <w:rsid w:val="00871B36"/>
    <w:rsid w:val="008936BB"/>
    <w:rsid w:val="00894F2B"/>
    <w:rsid w:val="00894FD1"/>
    <w:rsid w:val="008A0F90"/>
    <w:rsid w:val="008A28C5"/>
    <w:rsid w:val="008A494A"/>
    <w:rsid w:val="008A5C7C"/>
    <w:rsid w:val="008A7820"/>
    <w:rsid w:val="008B0533"/>
    <w:rsid w:val="008B5BCE"/>
    <w:rsid w:val="008C75F8"/>
    <w:rsid w:val="008D654C"/>
    <w:rsid w:val="008E20AC"/>
    <w:rsid w:val="008E533A"/>
    <w:rsid w:val="008F12EC"/>
    <w:rsid w:val="008F5C66"/>
    <w:rsid w:val="008F6CC1"/>
    <w:rsid w:val="00901FCF"/>
    <w:rsid w:val="00904770"/>
    <w:rsid w:val="00910971"/>
    <w:rsid w:val="009125F8"/>
    <w:rsid w:val="00950B02"/>
    <w:rsid w:val="00956439"/>
    <w:rsid w:val="009616E9"/>
    <w:rsid w:val="00963931"/>
    <w:rsid w:val="00971725"/>
    <w:rsid w:val="00972494"/>
    <w:rsid w:val="00975158"/>
    <w:rsid w:val="0097572F"/>
    <w:rsid w:val="00980FDA"/>
    <w:rsid w:val="0098274B"/>
    <w:rsid w:val="009908E9"/>
    <w:rsid w:val="009A0876"/>
    <w:rsid w:val="009A5D08"/>
    <w:rsid w:val="009B3E58"/>
    <w:rsid w:val="009D4252"/>
    <w:rsid w:val="009E19C6"/>
    <w:rsid w:val="009E6B56"/>
    <w:rsid w:val="009F4001"/>
    <w:rsid w:val="009F6E3F"/>
    <w:rsid w:val="009F71B0"/>
    <w:rsid w:val="00A01C76"/>
    <w:rsid w:val="00A170F5"/>
    <w:rsid w:val="00A249BB"/>
    <w:rsid w:val="00A31079"/>
    <w:rsid w:val="00A420E5"/>
    <w:rsid w:val="00A42C30"/>
    <w:rsid w:val="00A467F9"/>
    <w:rsid w:val="00A46C02"/>
    <w:rsid w:val="00A5284C"/>
    <w:rsid w:val="00A5492A"/>
    <w:rsid w:val="00A66B4B"/>
    <w:rsid w:val="00A70063"/>
    <w:rsid w:val="00A8162E"/>
    <w:rsid w:val="00A85BD5"/>
    <w:rsid w:val="00A934BE"/>
    <w:rsid w:val="00AA59B7"/>
    <w:rsid w:val="00AA6C3F"/>
    <w:rsid w:val="00AB0A56"/>
    <w:rsid w:val="00AB12BF"/>
    <w:rsid w:val="00AB650F"/>
    <w:rsid w:val="00AB6918"/>
    <w:rsid w:val="00AB6BB2"/>
    <w:rsid w:val="00AC752C"/>
    <w:rsid w:val="00AD0A13"/>
    <w:rsid w:val="00AD206C"/>
    <w:rsid w:val="00AD7F6C"/>
    <w:rsid w:val="00AE0EDF"/>
    <w:rsid w:val="00AE5F38"/>
    <w:rsid w:val="00AF31D3"/>
    <w:rsid w:val="00AF621A"/>
    <w:rsid w:val="00B00C55"/>
    <w:rsid w:val="00B01D59"/>
    <w:rsid w:val="00B05D80"/>
    <w:rsid w:val="00B07704"/>
    <w:rsid w:val="00B11AFA"/>
    <w:rsid w:val="00B1485B"/>
    <w:rsid w:val="00B224B8"/>
    <w:rsid w:val="00B23ED9"/>
    <w:rsid w:val="00B24668"/>
    <w:rsid w:val="00B32561"/>
    <w:rsid w:val="00B33E9D"/>
    <w:rsid w:val="00B37D8C"/>
    <w:rsid w:val="00B4019F"/>
    <w:rsid w:val="00B4160C"/>
    <w:rsid w:val="00B42752"/>
    <w:rsid w:val="00B42C83"/>
    <w:rsid w:val="00B54933"/>
    <w:rsid w:val="00B60C61"/>
    <w:rsid w:val="00B63F50"/>
    <w:rsid w:val="00B677B7"/>
    <w:rsid w:val="00B7538E"/>
    <w:rsid w:val="00B8304E"/>
    <w:rsid w:val="00B90345"/>
    <w:rsid w:val="00B9060E"/>
    <w:rsid w:val="00BA0AEB"/>
    <w:rsid w:val="00BA379C"/>
    <w:rsid w:val="00BB3CF7"/>
    <w:rsid w:val="00BC00B4"/>
    <w:rsid w:val="00BC141C"/>
    <w:rsid w:val="00BD06D0"/>
    <w:rsid w:val="00BD1B67"/>
    <w:rsid w:val="00BD2364"/>
    <w:rsid w:val="00BD764C"/>
    <w:rsid w:val="00BE58A7"/>
    <w:rsid w:val="00BF05A3"/>
    <w:rsid w:val="00C03554"/>
    <w:rsid w:val="00C13239"/>
    <w:rsid w:val="00C31C20"/>
    <w:rsid w:val="00C415A8"/>
    <w:rsid w:val="00C52293"/>
    <w:rsid w:val="00C578E1"/>
    <w:rsid w:val="00C61BA6"/>
    <w:rsid w:val="00C622C6"/>
    <w:rsid w:val="00C66263"/>
    <w:rsid w:val="00C70280"/>
    <w:rsid w:val="00C74E30"/>
    <w:rsid w:val="00C8794B"/>
    <w:rsid w:val="00CA2ACB"/>
    <w:rsid w:val="00CA32E9"/>
    <w:rsid w:val="00CA4808"/>
    <w:rsid w:val="00CB3277"/>
    <w:rsid w:val="00CB42F4"/>
    <w:rsid w:val="00CB4502"/>
    <w:rsid w:val="00CB5BD7"/>
    <w:rsid w:val="00CB689E"/>
    <w:rsid w:val="00CC4D6F"/>
    <w:rsid w:val="00CD0038"/>
    <w:rsid w:val="00CE7D96"/>
    <w:rsid w:val="00CF5E33"/>
    <w:rsid w:val="00D04683"/>
    <w:rsid w:val="00D071E8"/>
    <w:rsid w:val="00D11473"/>
    <w:rsid w:val="00D14BC0"/>
    <w:rsid w:val="00D30430"/>
    <w:rsid w:val="00D33712"/>
    <w:rsid w:val="00D33A9A"/>
    <w:rsid w:val="00D44E53"/>
    <w:rsid w:val="00D50520"/>
    <w:rsid w:val="00D57E84"/>
    <w:rsid w:val="00D639B5"/>
    <w:rsid w:val="00D67DAB"/>
    <w:rsid w:val="00D72B29"/>
    <w:rsid w:val="00D76162"/>
    <w:rsid w:val="00D97996"/>
    <w:rsid w:val="00DA2204"/>
    <w:rsid w:val="00DA7776"/>
    <w:rsid w:val="00DA798F"/>
    <w:rsid w:val="00DB0AAE"/>
    <w:rsid w:val="00DB2D51"/>
    <w:rsid w:val="00DB300F"/>
    <w:rsid w:val="00DB630D"/>
    <w:rsid w:val="00DE408D"/>
    <w:rsid w:val="00DE49E4"/>
    <w:rsid w:val="00DE6365"/>
    <w:rsid w:val="00DE7416"/>
    <w:rsid w:val="00E06FF1"/>
    <w:rsid w:val="00E14A00"/>
    <w:rsid w:val="00E22745"/>
    <w:rsid w:val="00E265D2"/>
    <w:rsid w:val="00E314A8"/>
    <w:rsid w:val="00E32B12"/>
    <w:rsid w:val="00E3418B"/>
    <w:rsid w:val="00E345AA"/>
    <w:rsid w:val="00E4097C"/>
    <w:rsid w:val="00E5172B"/>
    <w:rsid w:val="00E52A62"/>
    <w:rsid w:val="00E6153F"/>
    <w:rsid w:val="00E62822"/>
    <w:rsid w:val="00E64B9A"/>
    <w:rsid w:val="00E653FF"/>
    <w:rsid w:val="00E70103"/>
    <w:rsid w:val="00E70221"/>
    <w:rsid w:val="00E70D90"/>
    <w:rsid w:val="00E835AA"/>
    <w:rsid w:val="00E84DC3"/>
    <w:rsid w:val="00E87915"/>
    <w:rsid w:val="00E9250F"/>
    <w:rsid w:val="00E943BE"/>
    <w:rsid w:val="00EA4DEC"/>
    <w:rsid w:val="00EA6064"/>
    <w:rsid w:val="00EA6531"/>
    <w:rsid w:val="00EB537A"/>
    <w:rsid w:val="00EB6EB1"/>
    <w:rsid w:val="00EC5451"/>
    <w:rsid w:val="00EC5EEE"/>
    <w:rsid w:val="00ED6691"/>
    <w:rsid w:val="00EE1453"/>
    <w:rsid w:val="00EE2A41"/>
    <w:rsid w:val="00EE6C6C"/>
    <w:rsid w:val="00EF4F0A"/>
    <w:rsid w:val="00F00AC9"/>
    <w:rsid w:val="00F040B5"/>
    <w:rsid w:val="00F0636C"/>
    <w:rsid w:val="00F0704F"/>
    <w:rsid w:val="00F177C6"/>
    <w:rsid w:val="00F24A5A"/>
    <w:rsid w:val="00F342A7"/>
    <w:rsid w:val="00F57E6E"/>
    <w:rsid w:val="00F64B32"/>
    <w:rsid w:val="00F675AE"/>
    <w:rsid w:val="00F75294"/>
    <w:rsid w:val="00F7792F"/>
    <w:rsid w:val="00F877BF"/>
    <w:rsid w:val="00F91482"/>
    <w:rsid w:val="00F91507"/>
    <w:rsid w:val="00F9366F"/>
    <w:rsid w:val="00F9610D"/>
    <w:rsid w:val="00FA4E4A"/>
    <w:rsid w:val="00FA7C0E"/>
    <w:rsid w:val="00FB4470"/>
    <w:rsid w:val="00FB72EC"/>
    <w:rsid w:val="00FB7DE7"/>
    <w:rsid w:val="00FC1E5F"/>
    <w:rsid w:val="00FC2D0A"/>
    <w:rsid w:val="00FC54B6"/>
    <w:rsid w:val="00FC5933"/>
    <w:rsid w:val="00FC7589"/>
    <w:rsid w:val="00FD0A6D"/>
    <w:rsid w:val="00FE38E8"/>
    <w:rsid w:val="00FF126B"/>
    <w:rsid w:val="00FF1A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7F3223"/>
  <w15:docId w15:val="{3BC41092-6EB7-4E56-93F3-F3C8B7B3A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519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98274B"/>
    <w:pPr>
      <w:tabs>
        <w:tab w:val="center" w:pos="4320"/>
        <w:tab w:val="right" w:pos="8640"/>
      </w:tabs>
    </w:pPr>
  </w:style>
  <w:style w:type="paragraph" w:styleId="Footer">
    <w:name w:val="footer"/>
    <w:basedOn w:val="Normal"/>
    <w:rsid w:val="0098274B"/>
    <w:pPr>
      <w:tabs>
        <w:tab w:val="center" w:pos="4320"/>
        <w:tab w:val="right" w:pos="8640"/>
      </w:tabs>
    </w:pPr>
  </w:style>
  <w:style w:type="paragraph" w:styleId="BodyText">
    <w:name w:val="Body Text"/>
    <w:basedOn w:val="Normal"/>
    <w:rsid w:val="00D11473"/>
    <w:pPr>
      <w:spacing w:after="160"/>
    </w:pPr>
    <w:rPr>
      <w:sz w:val="20"/>
      <w:szCs w:val="20"/>
    </w:rPr>
  </w:style>
  <w:style w:type="character" w:styleId="PageNumber">
    <w:name w:val="page number"/>
    <w:basedOn w:val="DefaultParagraphFont"/>
    <w:rsid w:val="00170014"/>
  </w:style>
  <w:style w:type="paragraph" w:styleId="BalloonText">
    <w:name w:val="Balloon Text"/>
    <w:basedOn w:val="Normal"/>
    <w:semiHidden/>
    <w:rsid w:val="00E32B12"/>
    <w:rPr>
      <w:rFonts w:ascii="Tahoma" w:hAnsi="Tahoma" w:cs="Tahoma"/>
      <w:sz w:val="16"/>
      <w:szCs w:val="16"/>
    </w:rPr>
  </w:style>
  <w:style w:type="character" w:styleId="CommentReference">
    <w:name w:val="annotation reference"/>
    <w:basedOn w:val="DefaultParagraphFont"/>
    <w:rsid w:val="001D59AF"/>
    <w:rPr>
      <w:sz w:val="16"/>
      <w:szCs w:val="16"/>
    </w:rPr>
  </w:style>
  <w:style w:type="paragraph" w:styleId="CommentText">
    <w:name w:val="annotation text"/>
    <w:basedOn w:val="Normal"/>
    <w:link w:val="CommentTextChar"/>
    <w:rsid w:val="001D59AF"/>
    <w:rPr>
      <w:sz w:val="20"/>
      <w:szCs w:val="20"/>
    </w:rPr>
  </w:style>
  <w:style w:type="character" w:customStyle="1" w:styleId="CommentTextChar">
    <w:name w:val="Comment Text Char"/>
    <w:basedOn w:val="DefaultParagraphFont"/>
    <w:link w:val="CommentText"/>
    <w:rsid w:val="001D59AF"/>
  </w:style>
  <w:style w:type="paragraph" w:styleId="CommentSubject">
    <w:name w:val="annotation subject"/>
    <w:basedOn w:val="CommentText"/>
    <w:next w:val="CommentText"/>
    <w:link w:val="CommentSubjectChar"/>
    <w:rsid w:val="001D59AF"/>
    <w:rPr>
      <w:b/>
      <w:bCs/>
    </w:rPr>
  </w:style>
  <w:style w:type="character" w:customStyle="1" w:styleId="CommentSubjectChar">
    <w:name w:val="Comment Subject Char"/>
    <w:basedOn w:val="CommentTextChar"/>
    <w:link w:val="CommentSubject"/>
    <w:rsid w:val="001D59AF"/>
    <w:rPr>
      <w:b/>
      <w:bCs/>
    </w:rPr>
  </w:style>
  <w:style w:type="paragraph" w:styleId="ListParagraph">
    <w:name w:val="List Paragraph"/>
    <w:basedOn w:val="Normal"/>
    <w:uiPriority w:val="34"/>
    <w:qFormat/>
    <w:rsid w:val="006E4D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585290">
      <w:bodyDiv w:val="1"/>
      <w:marLeft w:val="0"/>
      <w:marRight w:val="0"/>
      <w:marTop w:val="0"/>
      <w:marBottom w:val="0"/>
      <w:divBdr>
        <w:top w:val="none" w:sz="0" w:space="0" w:color="auto"/>
        <w:left w:val="none" w:sz="0" w:space="0" w:color="auto"/>
        <w:bottom w:val="none" w:sz="0" w:space="0" w:color="auto"/>
        <w:right w:val="none" w:sz="0" w:space="0" w:color="auto"/>
      </w:divBdr>
    </w:div>
    <w:div w:id="1294554109">
      <w:bodyDiv w:val="1"/>
      <w:marLeft w:val="0"/>
      <w:marRight w:val="0"/>
      <w:marTop w:val="0"/>
      <w:marBottom w:val="0"/>
      <w:divBdr>
        <w:top w:val="none" w:sz="0" w:space="0" w:color="auto"/>
        <w:left w:val="none" w:sz="0" w:space="0" w:color="auto"/>
        <w:bottom w:val="none" w:sz="0" w:space="0" w:color="auto"/>
        <w:right w:val="none" w:sz="0" w:space="0" w:color="auto"/>
      </w:divBdr>
    </w:div>
    <w:div w:id="1924995671">
      <w:bodyDiv w:val="1"/>
      <w:marLeft w:val="0"/>
      <w:marRight w:val="0"/>
      <w:marTop w:val="0"/>
      <w:marBottom w:val="0"/>
      <w:divBdr>
        <w:top w:val="none" w:sz="0" w:space="0" w:color="auto"/>
        <w:left w:val="none" w:sz="0" w:space="0" w:color="auto"/>
        <w:bottom w:val="none" w:sz="0" w:space="0" w:color="auto"/>
        <w:right w:val="none" w:sz="0" w:space="0" w:color="auto"/>
      </w:divBdr>
      <w:divsChild>
        <w:div w:id="501286967">
          <w:marLeft w:val="360"/>
          <w:marRight w:val="0"/>
          <w:marTop w:val="200"/>
          <w:marBottom w:val="0"/>
          <w:divBdr>
            <w:top w:val="none" w:sz="0" w:space="0" w:color="auto"/>
            <w:left w:val="none" w:sz="0" w:space="0" w:color="auto"/>
            <w:bottom w:val="none" w:sz="0" w:space="0" w:color="auto"/>
            <w:right w:val="none" w:sz="0" w:space="0" w:color="auto"/>
          </w:divBdr>
        </w:div>
        <w:div w:id="946498331">
          <w:marLeft w:val="360"/>
          <w:marRight w:val="0"/>
          <w:marTop w:val="200"/>
          <w:marBottom w:val="0"/>
          <w:divBdr>
            <w:top w:val="none" w:sz="0" w:space="0" w:color="auto"/>
            <w:left w:val="none" w:sz="0" w:space="0" w:color="auto"/>
            <w:bottom w:val="none" w:sz="0" w:space="0" w:color="auto"/>
            <w:right w:val="none" w:sz="0" w:space="0" w:color="auto"/>
          </w:divBdr>
        </w:div>
        <w:div w:id="379328573">
          <w:marLeft w:val="360"/>
          <w:marRight w:val="0"/>
          <w:marTop w:val="200"/>
          <w:marBottom w:val="0"/>
          <w:divBdr>
            <w:top w:val="none" w:sz="0" w:space="0" w:color="auto"/>
            <w:left w:val="none" w:sz="0" w:space="0" w:color="auto"/>
            <w:bottom w:val="none" w:sz="0" w:space="0" w:color="auto"/>
            <w:right w:val="none" w:sz="0" w:space="0" w:color="auto"/>
          </w:divBdr>
        </w:div>
        <w:div w:id="1617713413">
          <w:marLeft w:val="360"/>
          <w:marRight w:val="0"/>
          <w:marTop w:val="200"/>
          <w:marBottom w:val="0"/>
          <w:divBdr>
            <w:top w:val="none" w:sz="0" w:space="0" w:color="auto"/>
            <w:left w:val="none" w:sz="0" w:space="0" w:color="auto"/>
            <w:bottom w:val="none" w:sz="0" w:space="0" w:color="auto"/>
            <w:right w:val="none" w:sz="0" w:space="0" w:color="auto"/>
          </w:divBdr>
        </w:div>
        <w:div w:id="599609032">
          <w:marLeft w:val="360"/>
          <w:marRight w:val="0"/>
          <w:marTop w:val="200"/>
          <w:marBottom w:val="0"/>
          <w:divBdr>
            <w:top w:val="none" w:sz="0" w:space="0" w:color="auto"/>
            <w:left w:val="none" w:sz="0" w:space="0" w:color="auto"/>
            <w:bottom w:val="none" w:sz="0" w:space="0" w:color="auto"/>
            <w:right w:val="none" w:sz="0" w:space="0" w:color="auto"/>
          </w:divBdr>
        </w:div>
      </w:divsChild>
    </w:div>
    <w:div w:id="1969429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6027</TotalTime>
  <Pages>2</Pages>
  <Words>517</Words>
  <Characters>2952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Black Sea Bass Committee Report</vt:lpstr>
    </vt:vector>
  </TitlesOfParts>
  <Company>NJDEP</Company>
  <LinksUpToDate>false</LinksUpToDate>
  <CharactersWithSpaces>3463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Black Sea Bass Committee Report</dc:title>
  <dc:creator>bmuffley</dc:creator>
  <cp:lastModifiedBy>Brust, Jeffrey [DEP]</cp:lastModifiedBy>
  <cp:revision>38</cp:revision>
  <cp:lastPrinted>2012-02-24T15:15:00Z</cp:lastPrinted>
  <dcterms:created xsi:type="dcterms:W3CDTF">2025-02-27T19:07:00Z</dcterms:created>
  <dcterms:modified xsi:type="dcterms:W3CDTF">2025-03-05T19:02:00Z</dcterms:modified>
</cp:coreProperties>
</file>