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6BB3C" w14:textId="01E2FB20" w:rsidR="00AA5304" w:rsidRPr="00AA5304" w:rsidRDefault="00AA5304" w:rsidP="00A6050F">
      <w:pPr>
        <w:spacing w:after="0" w:line="240" w:lineRule="auto"/>
        <w:jc w:val="center"/>
        <w:rPr>
          <w:b/>
          <w:bCs/>
        </w:rPr>
      </w:pPr>
      <w:r w:rsidRPr="00AA5304">
        <w:rPr>
          <w:b/>
          <w:bCs/>
        </w:rPr>
        <w:t xml:space="preserve">New Jersey Marine Fisheries Council </w:t>
      </w:r>
      <w:r w:rsidR="00A6050F">
        <w:rPr>
          <w:b/>
          <w:bCs/>
        </w:rPr>
        <w:t xml:space="preserve">Virtual </w:t>
      </w:r>
      <w:r w:rsidRPr="00AA5304">
        <w:rPr>
          <w:b/>
          <w:bCs/>
        </w:rPr>
        <w:t>Meeting</w:t>
      </w:r>
    </w:p>
    <w:p w14:paraId="39F2E054" w14:textId="515FAE20" w:rsidR="00AA5304" w:rsidRDefault="00AA5304" w:rsidP="00A6050F">
      <w:pPr>
        <w:spacing w:after="0" w:line="240" w:lineRule="auto"/>
        <w:jc w:val="center"/>
        <w:rPr>
          <w:b/>
          <w:bCs/>
        </w:rPr>
      </w:pPr>
      <w:r w:rsidRPr="00AA5304">
        <w:rPr>
          <w:b/>
          <w:bCs/>
        </w:rPr>
        <w:t>December 18, 2024</w:t>
      </w:r>
    </w:p>
    <w:p w14:paraId="47B602D5" w14:textId="77777777" w:rsidR="00F92677" w:rsidRPr="00AA5304" w:rsidRDefault="00F92677" w:rsidP="00A6050F">
      <w:pPr>
        <w:spacing w:after="0" w:line="240" w:lineRule="auto"/>
        <w:jc w:val="center"/>
        <w:rPr>
          <w:b/>
          <w:bCs/>
        </w:rPr>
      </w:pPr>
    </w:p>
    <w:p w14:paraId="25F6682B" w14:textId="77777777" w:rsidR="00AA5304" w:rsidRPr="00AA5304" w:rsidRDefault="00AA5304" w:rsidP="00A6050F">
      <w:pPr>
        <w:spacing w:after="0" w:line="240" w:lineRule="auto"/>
        <w:rPr>
          <w:b/>
          <w:bCs/>
        </w:rPr>
      </w:pPr>
      <w:r w:rsidRPr="00AA5304">
        <w:rPr>
          <w:b/>
          <w:bCs/>
        </w:rPr>
        <w:t xml:space="preserve">Council Attendees </w:t>
      </w:r>
    </w:p>
    <w:p w14:paraId="32DF9856" w14:textId="77777777" w:rsidR="00A6050F" w:rsidRDefault="00A6050F" w:rsidP="00A6050F">
      <w:pPr>
        <w:spacing w:after="0" w:line="240" w:lineRule="auto"/>
        <w:sectPr w:rsidR="00A6050F">
          <w:pgSz w:w="12240" w:h="15840"/>
          <w:pgMar w:top="1440" w:right="1440" w:bottom="1440" w:left="1440" w:header="720" w:footer="720" w:gutter="0"/>
          <w:cols w:space="720"/>
          <w:docGrid w:linePitch="360"/>
        </w:sectPr>
      </w:pPr>
    </w:p>
    <w:p w14:paraId="1C2F8DD2" w14:textId="31860094" w:rsidR="00AA5304" w:rsidRDefault="00AA5304" w:rsidP="00A6050F">
      <w:pPr>
        <w:spacing w:after="0" w:line="240" w:lineRule="auto"/>
      </w:pPr>
      <w:r w:rsidRPr="00AA5304">
        <w:t xml:space="preserve">Dr. Eleanor Bochenek  </w:t>
      </w:r>
    </w:p>
    <w:p w14:paraId="7C8FD0A0" w14:textId="4C6F406E" w:rsidR="00AA5304" w:rsidRDefault="00AA5304" w:rsidP="00A6050F">
      <w:pPr>
        <w:spacing w:after="0" w:line="240" w:lineRule="auto"/>
      </w:pPr>
      <w:r w:rsidRPr="00AA5304">
        <w:t xml:space="preserve">Dr. Patrick Donnelly </w:t>
      </w:r>
    </w:p>
    <w:p w14:paraId="1BC2E56C" w14:textId="36168B82" w:rsidR="00AA5304" w:rsidRDefault="00AA5304" w:rsidP="00A6050F">
      <w:pPr>
        <w:spacing w:after="0" w:line="240" w:lineRule="auto"/>
      </w:pPr>
      <w:r w:rsidRPr="00AA5304">
        <w:t xml:space="preserve">Warren Hollinger </w:t>
      </w:r>
    </w:p>
    <w:p w14:paraId="4C792E8D" w14:textId="151FF1F2" w:rsidR="00AA5304" w:rsidRDefault="00AA5304" w:rsidP="00A6050F">
      <w:pPr>
        <w:spacing w:after="0" w:line="240" w:lineRule="auto"/>
      </w:pPr>
      <w:r w:rsidRPr="00AA5304">
        <w:t xml:space="preserve">Walter Johnson III </w:t>
      </w:r>
    </w:p>
    <w:p w14:paraId="5B4ACEA1" w14:textId="394630E0" w:rsidR="00AA5304" w:rsidRDefault="00AA5304" w:rsidP="00A6050F">
      <w:pPr>
        <w:spacing w:after="0" w:line="240" w:lineRule="auto"/>
      </w:pPr>
      <w:r w:rsidRPr="00AA5304">
        <w:t xml:space="preserve">Jeff Kaelin </w:t>
      </w:r>
    </w:p>
    <w:p w14:paraId="124197F1" w14:textId="7496EA3B" w:rsidR="00AA5304" w:rsidRDefault="00AA5304" w:rsidP="00A6050F">
      <w:pPr>
        <w:spacing w:after="0" w:line="240" w:lineRule="auto"/>
      </w:pPr>
      <w:r w:rsidRPr="00AA5304">
        <w:t>Kevin Wark</w:t>
      </w:r>
    </w:p>
    <w:p w14:paraId="287F1B0D" w14:textId="3C54E758" w:rsidR="00AA5304" w:rsidRDefault="00AA5304" w:rsidP="00A6050F">
      <w:pPr>
        <w:spacing w:after="0" w:line="240" w:lineRule="auto"/>
      </w:pPr>
      <w:r w:rsidRPr="00AA5304">
        <w:t>Robert Rush</w:t>
      </w:r>
    </w:p>
    <w:p w14:paraId="46E3F049" w14:textId="34B03774" w:rsidR="00A6050F" w:rsidRDefault="00AA5304" w:rsidP="00A6050F">
      <w:pPr>
        <w:spacing w:after="0" w:line="240" w:lineRule="auto"/>
        <w:sectPr w:rsidR="00A6050F" w:rsidSect="00A6050F">
          <w:type w:val="continuous"/>
          <w:pgSz w:w="12240" w:h="15840"/>
          <w:pgMar w:top="1440" w:right="1440" w:bottom="1440" w:left="1440" w:header="720" w:footer="720" w:gutter="0"/>
          <w:cols w:num="2" w:space="720"/>
          <w:docGrid w:linePitch="360"/>
        </w:sectPr>
      </w:pPr>
      <w:r w:rsidRPr="00AA5304">
        <w:t>Richard Herb</w:t>
      </w:r>
    </w:p>
    <w:p w14:paraId="6557776B" w14:textId="77777777" w:rsidR="00A6050F" w:rsidRDefault="00A6050F" w:rsidP="00A6050F">
      <w:pPr>
        <w:spacing w:after="0" w:line="240" w:lineRule="auto"/>
      </w:pPr>
    </w:p>
    <w:p w14:paraId="1985CD0F" w14:textId="77777777" w:rsidR="00A6050F" w:rsidRPr="00A6050F" w:rsidRDefault="00A6050F" w:rsidP="00A6050F">
      <w:pPr>
        <w:spacing w:after="0" w:line="240" w:lineRule="auto"/>
        <w:rPr>
          <w:b/>
          <w:bCs/>
        </w:rPr>
      </w:pPr>
      <w:r w:rsidRPr="00A6050F">
        <w:rPr>
          <w:b/>
          <w:bCs/>
        </w:rPr>
        <w:t>DEP and Division of Fish and Wildlife Attendees:</w:t>
      </w:r>
    </w:p>
    <w:p w14:paraId="3D18761E" w14:textId="674C2C90" w:rsidR="00A6050F" w:rsidRDefault="00A6050F" w:rsidP="00A6050F">
      <w:pPr>
        <w:spacing w:after="0" w:line="240" w:lineRule="auto"/>
      </w:pPr>
      <w:r>
        <w:t>Joseph Cimino – Administrator, Marine Resources Administration (MRA)</w:t>
      </w:r>
    </w:p>
    <w:p w14:paraId="6E78232E" w14:textId="70567ED4" w:rsidR="00A6050F" w:rsidRDefault="00A6050F" w:rsidP="00A6050F">
      <w:pPr>
        <w:spacing w:after="0" w:line="240" w:lineRule="auto"/>
      </w:pPr>
      <w:r>
        <w:t>Jeffrey Brust – Chief, Bureau of Marine Fisheries (BMF)</w:t>
      </w:r>
    </w:p>
    <w:p w14:paraId="0646103E" w14:textId="414C8825" w:rsidR="00A6050F" w:rsidRDefault="00A6050F" w:rsidP="00A6050F">
      <w:pPr>
        <w:spacing w:after="0" w:line="240" w:lineRule="auto"/>
      </w:pPr>
      <w:r>
        <w:t xml:space="preserve">Heather Corbett – Supervising Biologist, BMF </w:t>
      </w:r>
    </w:p>
    <w:p w14:paraId="4F598799" w14:textId="77777777" w:rsidR="00A6050F" w:rsidRDefault="00A6050F" w:rsidP="00A6050F">
      <w:pPr>
        <w:spacing w:after="0" w:line="240" w:lineRule="auto"/>
      </w:pPr>
      <w:r>
        <w:t>Maryellen Gordon – Principal Biologist, BMF</w:t>
      </w:r>
    </w:p>
    <w:p w14:paraId="679BF3E2" w14:textId="77777777" w:rsidR="00A6050F" w:rsidRDefault="00A6050F" w:rsidP="00A6050F">
      <w:pPr>
        <w:spacing w:after="0" w:line="240" w:lineRule="auto"/>
      </w:pPr>
      <w:r>
        <w:t>Brian Neilan – Principal Biologist, BMF</w:t>
      </w:r>
    </w:p>
    <w:p w14:paraId="75C89626" w14:textId="77777777" w:rsidR="00950632" w:rsidRDefault="00950632" w:rsidP="00950632">
      <w:pPr>
        <w:spacing w:after="0" w:line="240" w:lineRule="auto"/>
      </w:pPr>
      <w:r>
        <w:t xml:space="preserve">Jen Pyle - </w:t>
      </w:r>
      <w:r>
        <w:t>Senior Biologist, BMF</w:t>
      </w:r>
    </w:p>
    <w:p w14:paraId="38287BCE" w14:textId="77777777" w:rsidR="00A6050F" w:rsidRDefault="00A6050F" w:rsidP="00A6050F">
      <w:pPr>
        <w:spacing w:after="0" w:line="240" w:lineRule="auto"/>
      </w:pPr>
      <w:r>
        <w:t>Jamie Darrow - Senior Biologist, BMF</w:t>
      </w:r>
    </w:p>
    <w:p w14:paraId="6B3CFE10" w14:textId="77777777" w:rsidR="00A6050F" w:rsidRPr="00A6050F" w:rsidRDefault="00A6050F" w:rsidP="00A6050F">
      <w:pPr>
        <w:spacing w:after="0" w:line="240" w:lineRule="auto"/>
        <w:rPr>
          <w:b/>
          <w:bCs/>
        </w:rPr>
      </w:pPr>
    </w:p>
    <w:p w14:paraId="75ABA1C4" w14:textId="157DF262" w:rsidR="00A6050F" w:rsidRDefault="00A6050F" w:rsidP="00A6050F">
      <w:pPr>
        <w:spacing w:after="0" w:line="240" w:lineRule="auto"/>
        <w:rPr>
          <w:b/>
          <w:bCs/>
        </w:rPr>
      </w:pPr>
      <w:r w:rsidRPr="00A6050F">
        <w:rPr>
          <w:b/>
          <w:bCs/>
        </w:rPr>
        <w:t>Public Attendees:</w:t>
      </w:r>
    </w:p>
    <w:p w14:paraId="4CEA1A2A" w14:textId="3BFB1F04" w:rsidR="00A6050F" w:rsidRDefault="00950632" w:rsidP="00A6050F">
      <w:pPr>
        <w:spacing w:after="0" w:line="240" w:lineRule="auto"/>
      </w:pPr>
      <w:r>
        <w:t>Kenneth Berry</w:t>
      </w:r>
    </w:p>
    <w:p w14:paraId="0DF2C339" w14:textId="528DCF3C" w:rsidR="00950632" w:rsidRDefault="00950632" w:rsidP="00A6050F">
      <w:pPr>
        <w:spacing w:after="0" w:line="240" w:lineRule="auto"/>
      </w:pPr>
      <w:r>
        <w:t>Tameeka Chang</w:t>
      </w:r>
    </w:p>
    <w:p w14:paraId="261A2A84" w14:textId="5D378F41" w:rsidR="00950632" w:rsidRDefault="00950632" w:rsidP="00A6050F">
      <w:pPr>
        <w:spacing w:after="0" w:line="240" w:lineRule="auto"/>
      </w:pPr>
      <w:r>
        <w:t>Kieran Golden</w:t>
      </w:r>
    </w:p>
    <w:p w14:paraId="36B52A5C" w14:textId="1DD9B35A" w:rsidR="00950632" w:rsidRDefault="00950632" w:rsidP="00A6050F">
      <w:pPr>
        <w:spacing w:after="0" w:line="240" w:lineRule="auto"/>
      </w:pPr>
      <w:r>
        <w:t>William Clark</w:t>
      </w:r>
    </w:p>
    <w:p w14:paraId="1082D9DA" w14:textId="77777777" w:rsidR="00950632" w:rsidRPr="00950632" w:rsidRDefault="00950632" w:rsidP="00A6050F">
      <w:pPr>
        <w:spacing w:after="0" w:line="240" w:lineRule="auto"/>
      </w:pPr>
    </w:p>
    <w:p w14:paraId="5C56126C" w14:textId="77777777" w:rsidR="00A6050F" w:rsidRDefault="00A6050F" w:rsidP="00A6050F">
      <w:pPr>
        <w:spacing w:after="0" w:line="240" w:lineRule="auto"/>
        <w:rPr>
          <w:b/>
          <w:bCs/>
        </w:rPr>
      </w:pPr>
    </w:p>
    <w:p w14:paraId="3CC49218" w14:textId="2033C0B4" w:rsidR="00A6050F" w:rsidRDefault="00A6050F" w:rsidP="00C019D7">
      <w:pPr>
        <w:spacing w:after="0" w:line="360" w:lineRule="auto"/>
      </w:pPr>
      <w:r>
        <w:t xml:space="preserve">The meeting was called to order. Notice of the Marine Fisheries Council (Council) meeting was filed with the Secretary of State on </w:t>
      </w:r>
      <w:r w:rsidR="00EC285F" w:rsidRPr="00EC285F">
        <w:t>December</w:t>
      </w:r>
      <w:r w:rsidRPr="00EC285F">
        <w:t xml:space="preserve"> </w:t>
      </w:r>
      <w:r w:rsidR="00EC285F" w:rsidRPr="00EC285F">
        <w:t>5</w:t>
      </w:r>
      <w:r w:rsidRPr="00EC285F">
        <w:t>, 2024.</w:t>
      </w:r>
    </w:p>
    <w:p w14:paraId="1CCC4F30" w14:textId="77777777" w:rsidR="00A6050F" w:rsidRDefault="00A6050F" w:rsidP="00C019D7">
      <w:pPr>
        <w:spacing w:after="0" w:line="360" w:lineRule="auto"/>
      </w:pPr>
    </w:p>
    <w:p w14:paraId="4858052E" w14:textId="76E0AB52" w:rsidR="00A6050F" w:rsidRDefault="00A6050F" w:rsidP="00C019D7">
      <w:pPr>
        <w:spacing w:after="0" w:line="360" w:lineRule="auto"/>
        <w:rPr>
          <w:b/>
          <w:bCs/>
        </w:rPr>
      </w:pPr>
      <w:r w:rsidRPr="00A6050F">
        <w:rPr>
          <w:b/>
          <w:bCs/>
        </w:rPr>
        <w:t>Atlantic Cobia Management</w:t>
      </w:r>
    </w:p>
    <w:p w14:paraId="4DE8F9ED" w14:textId="77777777" w:rsidR="00EC285F" w:rsidRPr="00EC285F" w:rsidRDefault="00EC285F" w:rsidP="00C019D7">
      <w:pPr>
        <w:spacing w:after="0" w:line="360" w:lineRule="auto"/>
      </w:pPr>
    </w:p>
    <w:p w14:paraId="1E78FA08" w14:textId="6CB4D0E9" w:rsidR="00EC285F" w:rsidRDefault="00EC285F" w:rsidP="00C019D7">
      <w:pPr>
        <w:spacing w:after="0" w:line="360" w:lineRule="auto"/>
      </w:pPr>
      <w:r w:rsidRPr="00EC285F">
        <w:t xml:space="preserve">Staff presented </w:t>
      </w:r>
      <w:r w:rsidR="00C1743A">
        <w:t xml:space="preserve">about the ASMFC required management change for the Atlantic Cobia recreational fishery. </w:t>
      </w:r>
      <w:r w:rsidR="00C1743A" w:rsidRPr="00C1743A">
        <w:t>Cobia Addendum II established a new regional recreational allocation framework resulting in new regional harvest targets based on the current coastwide total recreational harvest quota in place through 2026. To determine 2025-2026 measures for each region, the average 2021-2023 recreational harvest for each region was compared against its regional harvest target. The Northern Region’s (Rhode Island through Virginia) average harvest was above its target, requiring a 15.9% reduction in harvest</w:t>
      </w:r>
      <w:r w:rsidR="00C1743A">
        <w:t xml:space="preserve">. </w:t>
      </w:r>
      <w:r w:rsidR="00C1743A" w:rsidRPr="00C1743A">
        <w:t xml:space="preserve">The Cobia Technical Committee (TC) developed a suite of recreational management options for the </w:t>
      </w:r>
      <w:r w:rsidR="00C1743A" w:rsidRPr="00C1743A">
        <w:lastRenderedPageBreak/>
        <w:t xml:space="preserve">Northern Region estimated to meet the required 15.9% reduction. Each option is comprised of three components: regionwide size limit, regionwide vessel limit, and a season for Maryland, Potomac River Fisheries Commission, and Virginia. Data are not available to calculate any reduction associated with implementing a season for Rhode Island through Delaware. The Board approved </w:t>
      </w:r>
      <w:r w:rsidR="00665967" w:rsidRPr="00C1743A">
        <w:t>TC’s</w:t>
      </w:r>
      <w:r w:rsidR="00C1743A" w:rsidRPr="00C1743A">
        <w:t xml:space="preserve"> methodology for developing recreational options to meet the Northern Region reduction. States in the Northern Region will coordinate to select a regionwide size limit, regionwide vessel limit, and season for Maryland, PRFC, and Virginia. States will then submit implementation plans for Board consideration by January 1, 2025, and must implement the new measures by April 1, 2025. If States in the Northern Region cannot come to a consensus on which measures to implement, a virtual Board meeting will be scheduled to select measures.</w:t>
      </w:r>
    </w:p>
    <w:p w14:paraId="62AC16A3" w14:textId="133F4228" w:rsidR="00027146" w:rsidRDefault="00027146" w:rsidP="00C019D7">
      <w:pPr>
        <w:spacing w:after="0" w:line="360" w:lineRule="auto"/>
      </w:pPr>
      <w:r>
        <w:t>Staff presented the options table</w:t>
      </w:r>
      <w:r w:rsidR="00347D15">
        <w:t xml:space="preserve"> (Table 1 below)</w:t>
      </w:r>
      <w:r>
        <w:t xml:space="preserve"> </w:t>
      </w:r>
      <w:r w:rsidR="00B86F11">
        <w:t>that was presented to the council at the previous MFC meeting along with an additional option</w:t>
      </w:r>
      <w:r w:rsidR="00A13CAB">
        <w:t>. The additional option was requested to be calculated by the TC by Maryland and Virginia. Th</w:t>
      </w:r>
      <w:r w:rsidR="00786433">
        <w:t>e new</w:t>
      </w:r>
      <w:r w:rsidR="00A13CAB">
        <w:t xml:space="preserve"> </w:t>
      </w:r>
      <w:r w:rsidR="00786433">
        <w:t>option</w:t>
      </w:r>
      <w:r w:rsidR="00A13CAB">
        <w:t xml:space="preserve"> was </w:t>
      </w:r>
      <w:r w:rsidR="001F4DF7">
        <w:t>43-inch</w:t>
      </w:r>
      <w:r w:rsidR="00966E4E">
        <w:t xml:space="preserve"> total length size limit with a 2 fish vessel limit and a June 15</w:t>
      </w:r>
      <w:r w:rsidR="00966E4E" w:rsidRPr="00966E4E">
        <w:rPr>
          <w:vertAlign w:val="superscript"/>
        </w:rPr>
        <w:t>th</w:t>
      </w:r>
      <w:r w:rsidR="00966E4E">
        <w:t xml:space="preserve"> to September 20</w:t>
      </w:r>
      <w:r w:rsidR="00966E4E" w:rsidRPr="00966E4E">
        <w:rPr>
          <w:vertAlign w:val="superscript"/>
        </w:rPr>
        <w:t>th</w:t>
      </w:r>
      <w:r w:rsidR="00966E4E">
        <w:t xml:space="preserve"> season for MD and VA. This </w:t>
      </w:r>
      <w:r w:rsidR="00786433">
        <w:t xml:space="preserve">new </w:t>
      </w:r>
      <w:r w:rsidR="00966E4E">
        <w:t xml:space="preserve">option </w:t>
      </w:r>
      <w:r w:rsidR="00786433">
        <w:t xml:space="preserve">was the </w:t>
      </w:r>
      <w:r w:rsidR="001F4DF7">
        <w:t>region’s</w:t>
      </w:r>
      <w:r w:rsidR="00786433">
        <w:t xml:space="preserve"> preferred option that had the support of VA, MD, DE, NY, RI, CT, PMRC, and DC.</w:t>
      </w:r>
    </w:p>
    <w:p w14:paraId="61136C3E" w14:textId="77777777" w:rsidR="00966E4E" w:rsidRDefault="00966E4E" w:rsidP="00C019D7">
      <w:pPr>
        <w:spacing w:after="0" w:line="360" w:lineRule="auto"/>
      </w:pPr>
    </w:p>
    <w:p w14:paraId="43008B56" w14:textId="26C6C365" w:rsidR="00CD6593" w:rsidRDefault="00CD6593" w:rsidP="00C019D7">
      <w:pPr>
        <w:spacing w:after="0" w:line="360" w:lineRule="auto"/>
      </w:pPr>
      <w:r>
        <w:t xml:space="preserve">Dr. </w:t>
      </w:r>
      <w:r w:rsidR="008A61B3" w:rsidRPr="00AA5304">
        <w:t xml:space="preserve">Bochenek </w:t>
      </w:r>
      <w:r>
        <w:t xml:space="preserve">asked staff </w:t>
      </w:r>
      <w:r w:rsidR="0044036E">
        <w:t xml:space="preserve">if going to a larger size would increase discards. Staff responded </w:t>
      </w:r>
      <w:r w:rsidR="007504E8">
        <w:t>stating the length frequency data from the NJ Ocean Trawl survey along with MRIP data</w:t>
      </w:r>
      <w:r w:rsidR="002F556D">
        <w:t xml:space="preserve"> showed that 85% of fish that had been observed </w:t>
      </w:r>
      <w:r w:rsidR="00FE047C">
        <w:t>are above the proposed size limit of 43</w:t>
      </w:r>
      <w:r w:rsidR="00027146">
        <w:t xml:space="preserve"> inches total length. </w:t>
      </w:r>
      <w:r w:rsidR="0044036E">
        <w:t xml:space="preserve"> </w:t>
      </w:r>
      <w:r w:rsidR="001F4DF7">
        <w:t>Therefore,</w:t>
      </w:r>
      <w:r w:rsidR="009010F7">
        <w:t xml:space="preserve"> the increase in discards for NJ would be minimal.</w:t>
      </w:r>
    </w:p>
    <w:p w14:paraId="4FC15B43" w14:textId="77777777" w:rsidR="009010F7" w:rsidRDefault="009010F7" w:rsidP="00C019D7">
      <w:pPr>
        <w:spacing w:after="0" w:line="360" w:lineRule="auto"/>
      </w:pPr>
    </w:p>
    <w:p w14:paraId="1F6978C9" w14:textId="3D2C11B5" w:rsidR="009010F7" w:rsidRDefault="00175159" w:rsidP="00C019D7">
      <w:pPr>
        <w:spacing w:after="0" w:line="360" w:lineRule="auto"/>
      </w:pPr>
      <w:r>
        <w:t xml:space="preserve">Mr. Rush questioned how the </w:t>
      </w:r>
      <w:r w:rsidR="001F4DF7">
        <w:t>n</w:t>
      </w:r>
      <w:r>
        <w:t xml:space="preserve">orthern region is catching more fish than the southern region and where the data </w:t>
      </w:r>
      <w:r w:rsidR="001F4DF7">
        <w:t>came</w:t>
      </w:r>
      <w:r>
        <w:t xml:space="preserve"> from. Staff responded that </w:t>
      </w:r>
      <w:r w:rsidR="001E389E">
        <w:t xml:space="preserve">within the Atlantic Coastal stock of Cobia there are two main spawning </w:t>
      </w:r>
      <w:r w:rsidR="001F4DF7">
        <w:t>aggregations</w:t>
      </w:r>
      <w:r w:rsidR="001E389E">
        <w:t>, one being i</w:t>
      </w:r>
      <w:r w:rsidR="001F4DF7">
        <w:t xml:space="preserve">n Virginia </w:t>
      </w:r>
      <w:r w:rsidR="000744B4">
        <w:t xml:space="preserve">near the Chesapeake Bay </w:t>
      </w:r>
      <w:r w:rsidR="001E389E">
        <w:t>and the other in South Car</w:t>
      </w:r>
      <w:r w:rsidR="001F4DF7">
        <w:t>olina. Due to Virginia</w:t>
      </w:r>
      <w:r w:rsidR="005174AA">
        <w:t xml:space="preserve"> being within the northern region and because they have</w:t>
      </w:r>
      <w:r w:rsidR="001F4DF7">
        <w:t xml:space="preserve"> the largest harvest of Cobia along the coast</w:t>
      </w:r>
      <w:r w:rsidR="005174AA">
        <w:t xml:space="preserve">, </w:t>
      </w:r>
      <w:r w:rsidR="007E71AC">
        <w:t xml:space="preserve">it justifies the northern </w:t>
      </w:r>
      <w:r w:rsidR="00667E0F">
        <w:t>region’s</w:t>
      </w:r>
      <w:r w:rsidR="007E71AC">
        <w:t xml:space="preserve"> high catch data. </w:t>
      </w:r>
      <w:r w:rsidR="00667E0F">
        <w:t xml:space="preserve">Mr. Rush asked why NJ was </w:t>
      </w:r>
      <w:r w:rsidR="00720A08">
        <w:t xml:space="preserve">allocated to the Northern </w:t>
      </w:r>
      <w:r w:rsidR="00720A08">
        <w:lastRenderedPageBreak/>
        <w:t xml:space="preserve">Region. Staff mentioned it was because the </w:t>
      </w:r>
      <w:proofErr w:type="gramStart"/>
      <w:r w:rsidR="004C7EAC">
        <w:t>C</w:t>
      </w:r>
      <w:r w:rsidR="00720A08">
        <w:t>obia</w:t>
      </w:r>
      <w:proofErr w:type="gramEnd"/>
      <w:r w:rsidR="00720A08">
        <w:t xml:space="preserve"> that are caught in NJ are fish from the Chesapeake Bay spawning </w:t>
      </w:r>
      <w:r w:rsidR="004C7EAC">
        <w:t>aggregation.</w:t>
      </w:r>
      <w:r w:rsidR="00667E0F">
        <w:t xml:space="preserve"> </w:t>
      </w:r>
    </w:p>
    <w:p w14:paraId="25C0EF0F" w14:textId="77777777" w:rsidR="004C7EAC" w:rsidRDefault="004C7EAC" w:rsidP="00C019D7">
      <w:pPr>
        <w:spacing w:after="0" w:line="360" w:lineRule="auto"/>
      </w:pPr>
    </w:p>
    <w:p w14:paraId="793B03EB" w14:textId="164A32D1" w:rsidR="00347D15" w:rsidRDefault="00347D15" w:rsidP="00C019D7">
      <w:pPr>
        <w:spacing w:after="0" w:line="360" w:lineRule="auto"/>
      </w:pPr>
      <w:r>
        <w:t>Motion made by J. Kaelin to select the region’s preferred option of 43-inch total length size limit with a 2 fish vessel limit and a June 15</w:t>
      </w:r>
      <w:r w:rsidRPr="00966E4E">
        <w:rPr>
          <w:vertAlign w:val="superscript"/>
        </w:rPr>
        <w:t>th</w:t>
      </w:r>
      <w:r>
        <w:t xml:space="preserve"> to September 20</w:t>
      </w:r>
      <w:r w:rsidRPr="00966E4E">
        <w:rPr>
          <w:vertAlign w:val="superscript"/>
        </w:rPr>
        <w:t>th</w:t>
      </w:r>
      <w:r>
        <w:t xml:space="preserve"> season for MD and VA. Motion seconded by Dr. Donnelly. </w:t>
      </w:r>
    </w:p>
    <w:p w14:paraId="25AD328B" w14:textId="77777777" w:rsidR="00FA41EB" w:rsidRDefault="00FA41EB" w:rsidP="00C019D7">
      <w:pPr>
        <w:spacing w:after="0" w:line="360" w:lineRule="auto"/>
      </w:pPr>
    </w:p>
    <w:p w14:paraId="0D993269" w14:textId="6CB819BC" w:rsidR="00C7272B" w:rsidRDefault="00B00F4C" w:rsidP="00C019D7">
      <w:pPr>
        <w:spacing w:after="0" w:line="360" w:lineRule="auto"/>
      </w:pPr>
      <w:r>
        <w:t>Mr.</w:t>
      </w:r>
      <w:r w:rsidR="00FA41EB">
        <w:t xml:space="preserve"> Rush </w:t>
      </w:r>
      <w:r w:rsidR="00C019D7">
        <w:t xml:space="preserve">proposed an alternative option with a </w:t>
      </w:r>
      <w:r>
        <w:t>40-inch</w:t>
      </w:r>
      <w:r w:rsidR="00FA41EB">
        <w:t xml:space="preserve"> </w:t>
      </w:r>
      <w:r>
        <w:t>minimum</w:t>
      </w:r>
      <w:r w:rsidR="00C019D7">
        <w:t xml:space="preserve"> size, but there was little support since other states in the region had already expressed support for the </w:t>
      </w:r>
      <w:proofErr w:type="gramStart"/>
      <w:r w:rsidR="00C019D7">
        <w:t>43 inch</w:t>
      </w:r>
      <w:proofErr w:type="gramEnd"/>
      <w:r w:rsidR="00C019D7">
        <w:t xml:space="preserve"> minimum, and </w:t>
      </w:r>
      <w:r w:rsidR="00F92677">
        <w:t xml:space="preserve">Mr. Cimino </w:t>
      </w:r>
      <w:r w:rsidR="00C019D7">
        <w:t xml:space="preserve">indicated it was unlikely NJ would be able </w:t>
      </w:r>
      <w:r w:rsidR="00F72860">
        <w:t xml:space="preserve">to convince other states to change their </w:t>
      </w:r>
      <w:r w:rsidR="006E183F">
        <w:t>choices</w:t>
      </w:r>
      <w:r w:rsidR="00F72860">
        <w:t xml:space="preserve"> since NJ has </w:t>
      </w:r>
      <w:r w:rsidR="006E183F">
        <w:t>low</w:t>
      </w:r>
      <w:r w:rsidR="00F72860">
        <w:t xml:space="preserve"> data and this is Virginia’s </w:t>
      </w:r>
      <w:r w:rsidR="006E183F">
        <w:t xml:space="preserve">most important fishery. </w:t>
      </w:r>
    </w:p>
    <w:p w14:paraId="7870306B" w14:textId="77777777" w:rsidR="00B00F4C" w:rsidRDefault="00B00F4C" w:rsidP="00C019D7">
      <w:pPr>
        <w:spacing w:after="0" w:line="360" w:lineRule="auto"/>
      </w:pPr>
    </w:p>
    <w:p w14:paraId="5C4A241D" w14:textId="09067CDB" w:rsidR="00C019D7" w:rsidRDefault="00C019D7" w:rsidP="00C019D7">
      <w:pPr>
        <w:spacing w:after="0" w:line="360" w:lineRule="auto"/>
      </w:pPr>
      <w:r>
        <w:t>The floor was opened for public</w:t>
      </w:r>
      <w:r w:rsidR="00F545A4">
        <w:t xml:space="preserve"> comment, but no public attendees provided comment.</w:t>
      </w:r>
    </w:p>
    <w:p w14:paraId="214928D0" w14:textId="77777777" w:rsidR="00F545A4" w:rsidRDefault="00F545A4" w:rsidP="00C019D7">
      <w:pPr>
        <w:spacing w:after="0" w:line="360" w:lineRule="auto"/>
      </w:pPr>
    </w:p>
    <w:p w14:paraId="0587D5EC" w14:textId="0A0926AE" w:rsidR="00B00F4C" w:rsidRPr="00EC285F" w:rsidRDefault="00605D84" w:rsidP="00C019D7">
      <w:pPr>
        <w:spacing w:after="0" w:line="360" w:lineRule="auto"/>
      </w:pPr>
      <w:r>
        <w:t xml:space="preserve">Motion made by </w:t>
      </w:r>
      <w:r w:rsidR="0098075A">
        <w:t>Mr.</w:t>
      </w:r>
      <w:r>
        <w:t xml:space="preserve"> Kaelin was carried unanimously.</w:t>
      </w:r>
    </w:p>
    <w:p w14:paraId="6D9A4BA2" w14:textId="77777777" w:rsidR="00EC285F" w:rsidRDefault="00EC285F" w:rsidP="00C019D7">
      <w:pPr>
        <w:spacing w:after="0" w:line="360" w:lineRule="auto"/>
        <w:rPr>
          <w:b/>
          <w:bCs/>
        </w:rPr>
      </w:pPr>
    </w:p>
    <w:p w14:paraId="4F5F3136" w14:textId="77777777" w:rsidR="00F545A4" w:rsidRPr="00F545A4" w:rsidRDefault="00F545A4" w:rsidP="00F545A4">
      <w:pPr>
        <w:spacing w:after="0" w:line="360" w:lineRule="auto"/>
      </w:pPr>
      <w:r w:rsidRPr="00F545A4">
        <w:t>Mr. Brust asked the council if they had any additional questions.</w:t>
      </w:r>
    </w:p>
    <w:p w14:paraId="11EFC38E" w14:textId="77777777" w:rsidR="00F545A4" w:rsidRDefault="00F545A4" w:rsidP="00F545A4">
      <w:pPr>
        <w:spacing w:after="0" w:line="360" w:lineRule="auto"/>
        <w:rPr>
          <w:b/>
          <w:bCs/>
        </w:rPr>
      </w:pPr>
    </w:p>
    <w:p w14:paraId="535BA9AC" w14:textId="32F30D46" w:rsidR="00F545A4" w:rsidRDefault="00F545A4" w:rsidP="00F545A4">
      <w:pPr>
        <w:spacing w:after="0" w:line="360" w:lineRule="auto"/>
      </w:pPr>
      <w:r>
        <w:t>Mr. Rush requested verification that no actions were required for Striped Bass for the 2025 season.</w:t>
      </w:r>
      <w:r>
        <w:t xml:space="preserve"> </w:t>
      </w:r>
      <w:r>
        <w:t>Mr. Brust stated that at the ASMFC meeting they decided to start an addendum, and any changes that may occur would not be implemented until January of 2026.</w:t>
      </w:r>
    </w:p>
    <w:p w14:paraId="7E89144E" w14:textId="77777777" w:rsidR="00F545A4" w:rsidRDefault="00F545A4" w:rsidP="00F545A4">
      <w:pPr>
        <w:spacing w:after="0" w:line="360" w:lineRule="auto"/>
      </w:pPr>
    </w:p>
    <w:p w14:paraId="0F30C2F1" w14:textId="1A59B77A" w:rsidR="00F545A4" w:rsidRDefault="00F545A4" w:rsidP="00F545A4">
      <w:pPr>
        <w:spacing w:after="0" w:line="360" w:lineRule="auto"/>
      </w:pPr>
      <w:r>
        <w:t>Mr. Holling</w:t>
      </w:r>
      <w:r>
        <w:t>er</w:t>
      </w:r>
      <w:r>
        <w:t xml:space="preserve"> inquired about the new Endangered Species ruling that might affect tidal water access and expressed his concerns about how that could affect fishing and aquaculture in the state.</w:t>
      </w:r>
      <w:r>
        <w:t xml:space="preserve"> </w:t>
      </w:r>
      <w:r>
        <w:t xml:space="preserve">Mr. Brust stated he would reach out to ENSP and get more information about the ruling. Dr. </w:t>
      </w:r>
      <w:r w:rsidRPr="00AA5304">
        <w:t xml:space="preserve">Bochenek </w:t>
      </w:r>
      <w:r>
        <w:t>expressed disappointment that the Marine Fish Council was not included in the development of this ruling.</w:t>
      </w:r>
      <w:r>
        <w:t xml:space="preserve"> </w:t>
      </w:r>
      <w:r>
        <w:t xml:space="preserve">Mr. Kaelin suggested that the </w:t>
      </w:r>
      <w:r>
        <w:lastRenderedPageBreak/>
        <w:t>information be circulated well in advance of the next council meeting.</w:t>
      </w:r>
      <w:r>
        <w:t xml:space="preserve"> </w:t>
      </w:r>
      <w:r>
        <w:t>Mr. Brust agreed and stated that he would see if someone from ENSP could come to the next council meeting.</w:t>
      </w:r>
    </w:p>
    <w:p w14:paraId="5CB3578A" w14:textId="77777777" w:rsidR="00F545A4" w:rsidRDefault="00F545A4" w:rsidP="00F545A4">
      <w:pPr>
        <w:spacing w:after="0" w:line="360" w:lineRule="auto"/>
      </w:pPr>
    </w:p>
    <w:p w14:paraId="09D87C9A" w14:textId="2BAED762" w:rsidR="00F545A4" w:rsidRDefault="00F545A4" w:rsidP="00F545A4">
      <w:pPr>
        <w:spacing w:after="0" w:line="360" w:lineRule="auto"/>
      </w:pPr>
      <w:r>
        <w:t>Mr. Johnson inquired about the R</w:t>
      </w:r>
      <w:r>
        <w:t>EAL</w:t>
      </w:r>
      <w:r>
        <w:t xml:space="preserve"> </w:t>
      </w:r>
      <w:r>
        <w:t xml:space="preserve">Rules </w:t>
      </w:r>
      <w:r>
        <w:t>program and whether there was an update.</w:t>
      </w:r>
      <w:r>
        <w:t xml:space="preserve"> </w:t>
      </w:r>
      <w:r>
        <w:t>Mr. Brust agreed to find out more information.</w:t>
      </w:r>
    </w:p>
    <w:p w14:paraId="5130DF09" w14:textId="77777777" w:rsidR="00F545A4" w:rsidRDefault="00F545A4" w:rsidP="00F545A4">
      <w:pPr>
        <w:spacing w:after="0" w:line="360" w:lineRule="auto"/>
      </w:pPr>
    </w:p>
    <w:p w14:paraId="62864C23" w14:textId="35FDB51B" w:rsidR="00F545A4" w:rsidRDefault="00F545A4" w:rsidP="00F545A4">
      <w:pPr>
        <w:spacing w:after="0" w:line="360" w:lineRule="auto"/>
      </w:pPr>
      <w:r>
        <w:t>Mr. Rush asked if the ASMFC meeting resulted in any priority needs for other special meetings.</w:t>
      </w:r>
      <w:r>
        <w:t xml:space="preserve"> </w:t>
      </w:r>
      <w:r>
        <w:t>Mr. Brust said a summer flounder meeting is in the works.</w:t>
      </w:r>
    </w:p>
    <w:p w14:paraId="5523C410" w14:textId="77777777" w:rsidR="00F545A4" w:rsidRDefault="00F545A4" w:rsidP="00F545A4">
      <w:pPr>
        <w:spacing w:after="0" w:line="360" w:lineRule="auto"/>
      </w:pPr>
    </w:p>
    <w:p w14:paraId="1142A224" w14:textId="66B23109" w:rsidR="00F545A4" w:rsidRDefault="00F545A4" w:rsidP="00F545A4">
      <w:pPr>
        <w:spacing w:after="0" w:line="360" w:lineRule="auto"/>
      </w:pPr>
      <w:r>
        <w:t>Mr. Donnelly agreed with Mr. Kaelin about receiving more info about the ENSP ruling prior to the next meeting. He then thanked Joe Cimino, Jeff Kaelin and Adam Nowalsky for their work at the ASMFC meeting. He also requested an earlier meeting for Striped Bass in 2025. Mr. Brust said he will plan a meeting as soon as it is relevant.</w:t>
      </w:r>
      <w:r>
        <w:t xml:space="preserve"> </w:t>
      </w:r>
      <w:r>
        <w:t>Dr. Bochenek requested more information about the economic impacts on the fishery to be prepared for potential reductions.</w:t>
      </w:r>
      <w:r>
        <w:t xml:space="preserve"> </w:t>
      </w:r>
      <w:r>
        <w:t xml:space="preserve">Mr. Kaelin said </w:t>
      </w:r>
      <w:proofErr w:type="gramStart"/>
      <w:r>
        <w:t>all of</w:t>
      </w:r>
      <w:proofErr w:type="gramEnd"/>
      <w:r>
        <w:t xml:space="preserve"> the options are in the memo and that the council may want to see the memo for their interest. </w:t>
      </w:r>
    </w:p>
    <w:p w14:paraId="4452F1F4" w14:textId="77777777" w:rsidR="00F545A4" w:rsidRDefault="00F545A4" w:rsidP="00F545A4">
      <w:pPr>
        <w:spacing w:after="0" w:line="360" w:lineRule="auto"/>
      </w:pPr>
    </w:p>
    <w:p w14:paraId="3D19044B" w14:textId="2EDF5039" w:rsidR="00F545A4" w:rsidRDefault="00F545A4" w:rsidP="00F545A4">
      <w:pPr>
        <w:spacing w:after="0" w:line="360" w:lineRule="auto"/>
      </w:pPr>
      <w:r>
        <w:t xml:space="preserve">Dr. Bochenek requested that the </w:t>
      </w:r>
      <w:r>
        <w:t xml:space="preserve">Angler Survey Subcommittee </w:t>
      </w:r>
      <w:r>
        <w:t>begin collecting data on summer flounder and black sea bass for 2025 and need to meet in January to get something out by April.</w:t>
      </w:r>
    </w:p>
    <w:p w14:paraId="03C6853F" w14:textId="77777777" w:rsidR="00F545A4" w:rsidRDefault="00F545A4" w:rsidP="00F545A4">
      <w:pPr>
        <w:spacing w:after="0" w:line="360" w:lineRule="auto"/>
      </w:pPr>
    </w:p>
    <w:p w14:paraId="71F266C0" w14:textId="77777777" w:rsidR="00F545A4" w:rsidRDefault="00F545A4" w:rsidP="00F545A4">
      <w:pPr>
        <w:spacing w:after="0" w:line="360" w:lineRule="auto"/>
      </w:pPr>
      <w:r>
        <w:t>Mr. Rush asked if there is a summary of the public comments made for the last striped bass meeting.</w:t>
      </w:r>
    </w:p>
    <w:p w14:paraId="7B5CBBAC" w14:textId="77777777" w:rsidR="00F545A4" w:rsidRDefault="00F545A4" w:rsidP="00F545A4">
      <w:pPr>
        <w:spacing w:after="0" w:line="360" w:lineRule="auto"/>
      </w:pPr>
    </w:p>
    <w:p w14:paraId="2F98B34A" w14:textId="58C6D505" w:rsidR="00F545A4" w:rsidRPr="00F545A4" w:rsidRDefault="00F545A4" w:rsidP="00F545A4">
      <w:pPr>
        <w:spacing w:after="0" w:line="360" w:lineRule="auto"/>
      </w:pPr>
      <w:r>
        <w:t>The meeting was adjourned.</w:t>
      </w:r>
    </w:p>
    <w:p w14:paraId="7C7AC07F" w14:textId="11569CBB" w:rsidR="00F545A4" w:rsidRDefault="00F545A4">
      <w:pPr>
        <w:rPr>
          <w:b/>
          <w:bCs/>
        </w:rPr>
      </w:pPr>
      <w:r>
        <w:rPr>
          <w:b/>
          <w:bCs/>
        </w:rPr>
        <w:br w:type="page"/>
      </w:r>
    </w:p>
    <w:p w14:paraId="7F1D4079" w14:textId="0EAF7727" w:rsidR="0042772F" w:rsidRDefault="00347D15" w:rsidP="00C019D7">
      <w:pPr>
        <w:spacing w:after="0" w:line="360" w:lineRule="auto"/>
        <w:rPr>
          <w:b/>
          <w:bCs/>
        </w:rPr>
      </w:pPr>
      <w:r>
        <w:rPr>
          <w:b/>
          <w:bCs/>
        </w:rPr>
        <w:lastRenderedPageBreak/>
        <w:t>Table1. Atlantic Cobia Management Options</w:t>
      </w:r>
    </w:p>
    <w:tbl>
      <w:tblPr>
        <w:tblW w:w="8680" w:type="dxa"/>
        <w:tblLook w:val="04A0" w:firstRow="1" w:lastRow="0" w:firstColumn="1" w:lastColumn="0" w:noHBand="0" w:noVBand="1"/>
      </w:tblPr>
      <w:tblGrid>
        <w:gridCol w:w="1740"/>
        <w:gridCol w:w="1640"/>
        <w:gridCol w:w="3000"/>
        <w:gridCol w:w="2300"/>
      </w:tblGrid>
      <w:tr w:rsidR="00EC285F" w:rsidRPr="00EC285F" w14:paraId="7F736FFD" w14:textId="77777777" w:rsidTr="00EC285F">
        <w:trPr>
          <w:trHeight w:val="600"/>
        </w:trPr>
        <w:tc>
          <w:tcPr>
            <w:tcW w:w="1740" w:type="dxa"/>
            <w:tcBorders>
              <w:top w:val="single" w:sz="4" w:space="0" w:color="auto"/>
              <w:left w:val="single" w:sz="4" w:space="0" w:color="auto"/>
              <w:bottom w:val="single" w:sz="4" w:space="0" w:color="auto"/>
              <w:right w:val="single" w:sz="4" w:space="0" w:color="auto"/>
            </w:tcBorders>
            <w:shd w:val="clear" w:color="000000" w:fill="000000"/>
            <w:vAlign w:val="bottom"/>
            <w:hideMark/>
          </w:tcPr>
          <w:p w14:paraId="527C7A8D" w14:textId="77777777" w:rsidR="00EC285F" w:rsidRPr="00EC285F" w:rsidRDefault="00EC285F" w:rsidP="00C019D7">
            <w:pPr>
              <w:spacing w:after="0" w:line="360" w:lineRule="auto"/>
              <w:jc w:val="center"/>
              <w:rPr>
                <w:rFonts w:ascii="Aptos Narrow" w:eastAsia="Times New Roman" w:hAnsi="Aptos Narrow" w:cs="Times New Roman"/>
                <w:b/>
                <w:bCs/>
                <w:color w:val="FFFFFF"/>
                <w:kern w:val="0"/>
                <w:sz w:val="22"/>
                <w:szCs w:val="22"/>
                <w14:ligatures w14:val="none"/>
              </w:rPr>
            </w:pPr>
            <w:r w:rsidRPr="00EC285F">
              <w:rPr>
                <w:rFonts w:ascii="Aptos Narrow" w:eastAsia="Times New Roman" w:hAnsi="Aptos Narrow" w:cs="Times New Roman"/>
                <w:b/>
                <w:bCs/>
                <w:color w:val="FFFFFF"/>
                <w:kern w:val="0"/>
                <w:sz w:val="22"/>
                <w:szCs w:val="22"/>
                <w14:ligatures w14:val="none"/>
              </w:rPr>
              <w:t>Size Limit for</w:t>
            </w:r>
            <w:r w:rsidRPr="00EC285F">
              <w:rPr>
                <w:rFonts w:ascii="Aptos Narrow" w:eastAsia="Times New Roman" w:hAnsi="Aptos Narrow" w:cs="Times New Roman"/>
                <w:b/>
                <w:bCs/>
                <w:color w:val="FFFFFF"/>
                <w:kern w:val="0"/>
                <w:sz w:val="22"/>
                <w:szCs w:val="22"/>
                <w14:ligatures w14:val="none"/>
              </w:rPr>
              <w:br/>
              <w:t xml:space="preserve"> RI-VA (TL) </w:t>
            </w:r>
          </w:p>
        </w:tc>
        <w:tc>
          <w:tcPr>
            <w:tcW w:w="1640" w:type="dxa"/>
            <w:tcBorders>
              <w:top w:val="single" w:sz="4" w:space="0" w:color="auto"/>
              <w:left w:val="nil"/>
              <w:bottom w:val="single" w:sz="4" w:space="0" w:color="auto"/>
              <w:right w:val="single" w:sz="4" w:space="0" w:color="auto"/>
            </w:tcBorders>
            <w:shd w:val="clear" w:color="000000" w:fill="000000"/>
            <w:vAlign w:val="bottom"/>
            <w:hideMark/>
          </w:tcPr>
          <w:p w14:paraId="0C765A07" w14:textId="77777777" w:rsidR="00EC285F" w:rsidRPr="00EC285F" w:rsidRDefault="00EC285F" w:rsidP="00C019D7">
            <w:pPr>
              <w:spacing w:after="0" w:line="360" w:lineRule="auto"/>
              <w:jc w:val="center"/>
              <w:rPr>
                <w:rFonts w:ascii="Aptos Narrow" w:eastAsia="Times New Roman" w:hAnsi="Aptos Narrow" w:cs="Times New Roman"/>
                <w:b/>
                <w:bCs/>
                <w:color w:val="FFFFFF"/>
                <w:kern w:val="0"/>
                <w:sz w:val="22"/>
                <w:szCs w:val="22"/>
                <w14:ligatures w14:val="none"/>
              </w:rPr>
            </w:pPr>
            <w:r w:rsidRPr="00EC285F">
              <w:rPr>
                <w:rFonts w:ascii="Aptos Narrow" w:eastAsia="Times New Roman" w:hAnsi="Aptos Narrow" w:cs="Times New Roman"/>
                <w:b/>
                <w:bCs/>
                <w:color w:val="FFFFFF"/>
                <w:kern w:val="0"/>
                <w:sz w:val="22"/>
                <w:szCs w:val="22"/>
                <w14:ligatures w14:val="none"/>
              </w:rPr>
              <w:t xml:space="preserve">Vessel Limit </w:t>
            </w:r>
            <w:r w:rsidRPr="00EC285F">
              <w:rPr>
                <w:rFonts w:ascii="Aptos Narrow" w:eastAsia="Times New Roman" w:hAnsi="Aptos Narrow" w:cs="Times New Roman"/>
                <w:b/>
                <w:bCs/>
                <w:color w:val="FFFFFF"/>
                <w:kern w:val="0"/>
                <w:sz w:val="22"/>
                <w:szCs w:val="22"/>
                <w14:ligatures w14:val="none"/>
              </w:rPr>
              <w:br/>
              <w:t xml:space="preserve">for RI-VA </w:t>
            </w:r>
          </w:p>
        </w:tc>
        <w:tc>
          <w:tcPr>
            <w:tcW w:w="3000" w:type="dxa"/>
            <w:tcBorders>
              <w:top w:val="single" w:sz="4" w:space="0" w:color="auto"/>
              <w:left w:val="nil"/>
              <w:bottom w:val="single" w:sz="4" w:space="0" w:color="auto"/>
              <w:right w:val="single" w:sz="4" w:space="0" w:color="auto"/>
            </w:tcBorders>
            <w:shd w:val="clear" w:color="000000" w:fill="000000"/>
            <w:vAlign w:val="bottom"/>
            <w:hideMark/>
          </w:tcPr>
          <w:p w14:paraId="33687A1D" w14:textId="77777777" w:rsidR="00EC285F" w:rsidRPr="00EC285F" w:rsidRDefault="00EC285F" w:rsidP="00C019D7">
            <w:pPr>
              <w:spacing w:after="0" w:line="360" w:lineRule="auto"/>
              <w:jc w:val="center"/>
              <w:rPr>
                <w:rFonts w:ascii="Aptos Narrow" w:eastAsia="Times New Roman" w:hAnsi="Aptos Narrow" w:cs="Times New Roman"/>
                <w:b/>
                <w:bCs/>
                <w:color w:val="FFFFFF"/>
                <w:kern w:val="0"/>
                <w:sz w:val="22"/>
                <w:szCs w:val="22"/>
                <w14:ligatures w14:val="none"/>
              </w:rPr>
            </w:pPr>
            <w:r w:rsidRPr="00EC285F">
              <w:rPr>
                <w:rFonts w:ascii="Aptos Narrow" w:eastAsia="Times New Roman" w:hAnsi="Aptos Narrow" w:cs="Times New Roman"/>
                <w:b/>
                <w:bCs/>
                <w:color w:val="FFFFFF"/>
                <w:kern w:val="0"/>
                <w:sz w:val="22"/>
                <w:szCs w:val="22"/>
                <w14:ligatures w14:val="none"/>
              </w:rPr>
              <w:t xml:space="preserve">Season for MD-VA* </w:t>
            </w:r>
          </w:p>
        </w:tc>
        <w:tc>
          <w:tcPr>
            <w:tcW w:w="2300" w:type="dxa"/>
            <w:tcBorders>
              <w:top w:val="single" w:sz="4" w:space="0" w:color="auto"/>
              <w:left w:val="nil"/>
              <w:bottom w:val="single" w:sz="4" w:space="0" w:color="auto"/>
              <w:right w:val="single" w:sz="4" w:space="0" w:color="auto"/>
            </w:tcBorders>
            <w:shd w:val="clear" w:color="000000" w:fill="000000"/>
            <w:vAlign w:val="bottom"/>
            <w:hideMark/>
          </w:tcPr>
          <w:p w14:paraId="4A216D85" w14:textId="77777777" w:rsidR="00EC285F" w:rsidRPr="00EC285F" w:rsidRDefault="00EC285F" w:rsidP="00C019D7">
            <w:pPr>
              <w:spacing w:after="0" w:line="360" w:lineRule="auto"/>
              <w:jc w:val="center"/>
              <w:rPr>
                <w:rFonts w:ascii="Aptos Narrow" w:eastAsia="Times New Roman" w:hAnsi="Aptos Narrow" w:cs="Times New Roman"/>
                <w:b/>
                <w:bCs/>
                <w:color w:val="FFFFFF"/>
                <w:kern w:val="0"/>
                <w:sz w:val="22"/>
                <w:szCs w:val="22"/>
                <w14:ligatures w14:val="none"/>
              </w:rPr>
            </w:pPr>
            <w:r w:rsidRPr="00EC285F">
              <w:rPr>
                <w:rFonts w:ascii="Aptos Narrow" w:eastAsia="Times New Roman" w:hAnsi="Aptos Narrow" w:cs="Times New Roman"/>
                <w:b/>
                <w:bCs/>
                <w:color w:val="FFFFFF"/>
                <w:kern w:val="0"/>
                <w:sz w:val="22"/>
                <w:szCs w:val="22"/>
                <w14:ligatures w14:val="none"/>
              </w:rPr>
              <w:t xml:space="preserve">Total Estimated </w:t>
            </w:r>
            <w:r w:rsidRPr="00EC285F">
              <w:rPr>
                <w:rFonts w:ascii="Aptos Narrow" w:eastAsia="Times New Roman" w:hAnsi="Aptos Narrow" w:cs="Times New Roman"/>
                <w:b/>
                <w:bCs/>
                <w:color w:val="FFFFFF"/>
                <w:kern w:val="0"/>
                <w:sz w:val="22"/>
                <w:szCs w:val="22"/>
                <w14:ligatures w14:val="none"/>
              </w:rPr>
              <w:br/>
              <w:t xml:space="preserve">Cumulative Reduction </w:t>
            </w:r>
          </w:p>
        </w:tc>
      </w:tr>
      <w:tr w:rsidR="00EC285F" w:rsidRPr="00EC285F" w14:paraId="46CE0696" w14:textId="77777777" w:rsidTr="00EC285F">
        <w:trPr>
          <w:trHeight w:val="300"/>
        </w:trPr>
        <w:tc>
          <w:tcPr>
            <w:tcW w:w="1740" w:type="dxa"/>
            <w:tcBorders>
              <w:top w:val="nil"/>
              <w:left w:val="single" w:sz="4" w:space="0" w:color="auto"/>
              <w:bottom w:val="nil"/>
              <w:right w:val="nil"/>
            </w:tcBorders>
            <w:shd w:val="clear" w:color="auto" w:fill="auto"/>
            <w:vAlign w:val="bottom"/>
            <w:hideMark/>
          </w:tcPr>
          <w:p w14:paraId="0A9C339A"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c>
          <w:tcPr>
            <w:tcW w:w="1640" w:type="dxa"/>
            <w:tcBorders>
              <w:top w:val="nil"/>
              <w:left w:val="nil"/>
              <w:bottom w:val="nil"/>
              <w:right w:val="nil"/>
            </w:tcBorders>
            <w:shd w:val="clear" w:color="auto" w:fill="auto"/>
            <w:vAlign w:val="bottom"/>
            <w:hideMark/>
          </w:tcPr>
          <w:p w14:paraId="257443A2"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c>
          <w:tcPr>
            <w:tcW w:w="3000" w:type="dxa"/>
            <w:tcBorders>
              <w:top w:val="nil"/>
              <w:left w:val="nil"/>
              <w:bottom w:val="nil"/>
              <w:right w:val="nil"/>
            </w:tcBorders>
            <w:shd w:val="clear" w:color="auto" w:fill="auto"/>
            <w:vAlign w:val="bottom"/>
            <w:hideMark/>
          </w:tcPr>
          <w:p w14:paraId="78536987"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c>
          <w:tcPr>
            <w:tcW w:w="2300" w:type="dxa"/>
            <w:tcBorders>
              <w:top w:val="nil"/>
              <w:left w:val="nil"/>
              <w:bottom w:val="nil"/>
              <w:right w:val="single" w:sz="4" w:space="0" w:color="auto"/>
            </w:tcBorders>
            <w:shd w:val="clear" w:color="auto" w:fill="auto"/>
            <w:vAlign w:val="bottom"/>
            <w:hideMark/>
          </w:tcPr>
          <w:p w14:paraId="33044B6B"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r>
      <w:tr w:rsidR="00EC285F" w:rsidRPr="00EC285F" w14:paraId="207D82B6" w14:textId="77777777" w:rsidTr="00EC285F">
        <w:trPr>
          <w:trHeight w:val="300"/>
        </w:trPr>
        <w:tc>
          <w:tcPr>
            <w:tcW w:w="3380" w:type="dxa"/>
            <w:gridSpan w:val="2"/>
            <w:tcBorders>
              <w:top w:val="nil"/>
              <w:left w:val="single" w:sz="4" w:space="0" w:color="auto"/>
              <w:bottom w:val="single" w:sz="4" w:space="0" w:color="auto"/>
              <w:right w:val="nil"/>
            </w:tcBorders>
            <w:shd w:val="clear" w:color="auto" w:fill="auto"/>
            <w:vAlign w:val="bottom"/>
            <w:hideMark/>
          </w:tcPr>
          <w:p w14:paraId="68DF839A" w14:textId="77777777" w:rsidR="00EC285F" w:rsidRPr="00EC285F" w:rsidRDefault="00EC285F" w:rsidP="00C019D7">
            <w:pPr>
              <w:spacing w:after="0" w:line="360" w:lineRule="auto"/>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NJ MFC Preferred Options:</w:t>
            </w:r>
          </w:p>
        </w:tc>
        <w:tc>
          <w:tcPr>
            <w:tcW w:w="3000" w:type="dxa"/>
            <w:tcBorders>
              <w:top w:val="nil"/>
              <w:left w:val="nil"/>
              <w:bottom w:val="single" w:sz="4" w:space="0" w:color="auto"/>
              <w:right w:val="nil"/>
            </w:tcBorders>
            <w:shd w:val="clear" w:color="auto" w:fill="auto"/>
            <w:vAlign w:val="bottom"/>
            <w:hideMark/>
          </w:tcPr>
          <w:p w14:paraId="61C8A65A"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c>
          <w:tcPr>
            <w:tcW w:w="2300" w:type="dxa"/>
            <w:tcBorders>
              <w:top w:val="nil"/>
              <w:left w:val="nil"/>
              <w:bottom w:val="single" w:sz="4" w:space="0" w:color="auto"/>
              <w:right w:val="single" w:sz="4" w:space="0" w:color="auto"/>
            </w:tcBorders>
            <w:shd w:val="clear" w:color="auto" w:fill="auto"/>
            <w:vAlign w:val="bottom"/>
            <w:hideMark/>
          </w:tcPr>
          <w:p w14:paraId="69A2AAC0" w14:textId="77777777" w:rsidR="00EC285F" w:rsidRPr="00EC285F" w:rsidRDefault="00EC285F" w:rsidP="00C019D7">
            <w:pPr>
              <w:spacing w:after="0" w:line="360" w:lineRule="auto"/>
              <w:jc w:val="center"/>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 </w:t>
            </w:r>
          </w:p>
        </w:tc>
      </w:tr>
      <w:tr w:rsidR="00EC285F" w:rsidRPr="00EC285F" w14:paraId="314BB672" w14:textId="77777777" w:rsidTr="00EC285F">
        <w:trPr>
          <w:trHeight w:val="6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0A0C365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minimum </w:t>
            </w:r>
          </w:p>
        </w:tc>
        <w:tc>
          <w:tcPr>
            <w:tcW w:w="1640" w:type="dxa"/>
            <w:tcBorders>
              <w:top w:val="nil"/>
              <w:left w:val="nil"/>
              <w:bottom w:val="single" w:sz="4" w:space="0" w:color="auto"/>
              <w:right w:val="single" w:sz="4" w:space="0" w:color="auto"/>
            </w:tcBorders>
            <w:shd w:val="clear" w:color="000000" w:fill="BFBFBF"/>
            <w:noWrap/>
            <w:vAlign w:val="bottom"/>
            <w:hideMark/>
          </w:tcPr>
          <w:p w14:paraId="118E7B1C"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1-fish</w:t>
            </w:r>
          </w:p>
        </w:tc>
        <w:tc>
          <w:tcPr>
            <w:tcW w:w="3000" w:type="dxa"/>
            <w:tcBorders>
              <w:top w:val="nil"/>
              <w:left w:val="nil"/>
              <w:bottom w:val="single" w:sz="4" w:space="0" w:color="auto"/>
              <w:right w:val="single" w:sz="4" w:space="0" w:color="auto"/>
            </w:tcBorders>
            <w:shd w:val="clear" w:color="000000" w:fill="BFBFBF"/>
            <w:vAlign w:val="bottom"/>
            <w:hideMark/>
          </w:tcPr>
          <w:p w14:paraId="2215952D"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8 – September 15, OR </w:t>
            </w:r>
            <w:r w:rsidRPr="00EC285F">
              <w:rPr>
                <w:rFonts w:ascii="Aptos Narrow" w:eastAsia="Times New Roman" w:hAnsi="Aptos Narrow" w:cs="Times New Roman"/>
                <w:color w:val="000000"/>
                <w:kern w:val="0"/>
                <w:sz w:val="22"/>
                <w:szCs w:val="22"/>
                <w14:ligatures w14:val="none"/>
              </w:rPr>
              <w:br/>
              <w:t xml:space="preserve">June 15 – September 22 </w:t>
            </w:r>
          </w:p>
        </w:tc>
        <w:tc>
          <w:tcPr>
            <w:tcW w:w="2300" w:type="dxa"/>
            <w:tcBorders>
              <w:top w:val="nil"/>
              <w:left w:val="nil"/>
              <w:bottom w:val="single" w:sz="4" w:space="0" w:color="auto"/>
              <w:right w:val="single" w:sz="4" w:space="0" w:color="auto"/>
            </w:tcBorders>
            <w:shd w:val="clear" w:color="000000" w:fill="BFBFBF"/>
            <w:noWrap/>
            <w:vAlign w:val="center"/>
            <w:hideMark/>
          </w:tcPr>
          <w:p w14:paraId="31089513"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-16.6% </w:t>
            </w:r>
          </w:p>
        </w:tc>
      </w:tr>
      <w:tr w:rsidR="00EC285F" w:rsidRPr="00EC285F" w14:paraId="4502537C" w14:textId="77777777" w:rsidTr="00EC285F">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0A30443"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minimum </w:t>
            </w:r>
          </w:p>
        </w:tc>
        <w:tc>
          <w:tcPr>
            <w:tcW w:w="1640" w:type="dxa"/>
            <w:tcBorders>
              <w:top w:val="nil"/>
              <w:left w:val="nil"/>
              <w:bottom w:val="single" w:sz="4" w:space="0" w:color="auto"/>
              <w:right w:val="single" w:sz="4" w:space="0" w:color="auto"/>
            </w:tcBorders>
            <w:shd w:val="clear" w:color="auto" w:fill="auto"/>
            <w:noWrap/>
            <w:vAlign w:val="bottom"/>
            <w:hideMark/>
          </w:tcPr>
          <w:p w14:paraId="48E757C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auto" w:fill="auto"/>
            <w:vAlign w:val="bottom"/>
            <w:hideMark/>
          </w:tcPr>
          <w:p w14:paraId="6E204F07"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August 25**</w:t>
            </w:r>
          </w:p>
        </w:tc>
        <w:tc>
          <w:tcPr>
            <w:tcW w:w="2300" w:type="dxa"/>
            <w:tcBorders>
              <w:top w:val="nil"/>
              <w:left w:val="nil"/>
              <w:bottom w:val="single" w:sz="4" w:space="0" w:color="auto"/>
              <w:right w:val="single" w:sz="4" w:space="0" w:color="auto"/>
            </w:tcBorders>
            <w:shd w:val="clear" w:color="auto" w:fill="auto"/>
            <w:vAlign w:val="center"/>
            <w:hideMark/>
          </w:tcPr>
          <w:p w14:paraId="6884AD8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-16.7%</w:t>
            </w:r>
          </w:p>
        </w:tc>
      </w:tr>
      <w:tr w:rsidR="00EC285F" w:rsidRPr="00EC285F" w14:paraId="3A1D8C5E" w14:textId="77777777" w:rsidTr="00EC285F">
        <w:trPr>
          <w:trHeight w:val="3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0549996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- 51" slot </w:t>
            </w:r>
          </w:p>
        </w:tc>
        <w:tc>
          <w:tcPr>
            <w:tcW w:w="1640" w:type="dxa"/>
            <w:tcBorders>
              <w:top w:val="nil"/>
              <w:left w:val="nil"/>
              <w:bottom w:val="single" w:sz="4" w:space="0" w:color="auto"/>
              <w:right w:val="single" w:sz="4" w:space="0" w:color="auto"/>
            </w:tcBorders>
            <w:shd w:val="clear" w:color="000000" w:fill="BFBFBF"/>
            <w:noWrap/>
            <w:vAlign w:val="bottom"/>
            <w:hideMark/>
          </w:tcPr>
          <w:p w14:paraId="738F110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000000" w:fill="BFBFBF"/>
            <w:vAlign w:val="bottom"/>
            <w:hideMark/>
          </w:tcPr>
          <w:p w14:paraId="528E43F7"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September 15</w:t>
            </w:r>
          </w:p>
        </w:tc>
        <w:tc>
          <w:tcPr>
            <w:tcW w:w="2300" w:type="dxa"/>
            <w:tcBorders>
              <w:top w:val="nil"/>
              <w:left w:val="nil"/>
              <w:bottom w:val="single" w:sz="4" w:space="0" w:color="auto"/>
              <w:right w:val="single" w:sz="4" w:space="0" w:color="auto"/>
            </w:tcBorders>
            <w:shd w:val="clear" w:color="000000" w:fill="BFBFBF"/>
            <w:noWrap/>
            <w:vAlign w:val="center"/>
            <w:hideMark/>
          </w:tcPr>
          <w:p w14:paraId="36D23A91"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-16.4% </w:t>
            </w:r>
          </w:p>
        </w:tc>
      </w:tr>
      <w:tr w:rsidR="00EC285F" w:rsidRPr="00EC285F" w14:paraId="6F66D6DB" w14:textId="77777777" w:rsidTr="00EC285F">
        <w:trPr>
          <w:trHeight w:val="300"/>
        </w:trPr>
        <w:tc>
          <w:tcPr>
            <w:tcW w:w="1740" w:type="dxa"/>
            <w:tcBorders>
              <w:top w:val="nil"/>
              <w:left w:val="single" w:sz="4" w:space="0" w:color="auto"/>
              <w:bottom w:val="nil"/>
              <w:right w:val="nil"/>
            </w:tcBorders>
            <w:shd w:val="clear" w:color="auto" w:fill="auto"/>
            <w:noWrap/>
            <w:vAlign w:val="bottom"/>
            <w:hideMark/>
          </w:tcPr>
          <w:p w14:paraId="1A9EB4C3"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c>
          <w:tcPr>
            <w:tcW w:w="1640" w:type="dxa"/>
            <w:tcBorders>
              <w:top w:val="nil"/>
              <w:left w:val="nil"/>
              <w:bottom w:val="nil"/>
              <w:right w:val="nil"/>
            </w:tcBorders>
            <w:shd w:val="clear" w:color="auto" w:fill="auto"/>
            <w:noWrap/>
            <w:vAlign w:val="bottom"/>
            <w:hideMark/>
          </w:tcPr>
          <w:p w14:paraId="558962AC"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p>
        </w:tc>
        <w:tc>
          <w:tcPr>
            <w:tcW w:w="3000" w:type="dxa"/>
            <w:tcBorders>
              <w:top w:val="nil"/>
              <w:left w:val="nil"/>
              <w:bottom w:val="nil"/>
              <w:right w:val="nil"/>
            </w:tcBorders>
            <w:shd w:val="clear" w:color="auto" w:fill="auto"/>
            <w:vAlign w:val="bottom"/>
            <w:hideMark/>
          </w:tcPr>
          <w:p w14:paraId="129B456A" w14:textId="77777777" w:rsidR="00EC285F" w:rsidRPr="00EC285F" w:rsidRDefault="00EC285F" w:rsidP="00C019D7">
            <w:pPr>
              <w:spacing w:after="0" w:line="360" w:lineRule="auto"/>
              <w:jc w:val="center"/>
              <w:rPr>
                <w:rFonts w:ascii="Times New Roman" w:eastAsia="Times New Roman" w:hAnsi="Times New Roman" w:cs="Times New Roman"/>
                <w:kern w:val="0"/>
                <w:sz w:val="20"/>
                <w:szCs w:val="20"/>
                <w14:ligatures w14:val="none"/>
              </w:rPr>
            </w:pPr>
          </w:p>
        </w:tc>
        <w:tc>
          <w:tcPr>
            <w:tcW w:w="2300" w:type="dxa"/>
            <w:tcBorders>
              <w:top w:val="nil"/>
              <w:left w:val="nil"/>
              <w:bottom w:val="nil"/>
              <w:right w:val="single" w:sz="4" w:space="0" w:color="auto"/>
            </w:tcBorders>
            <w:shd w:val="clear" w:color="auto" w:fill="auto"/>
            <w:noWrap/>
            <w:vAlign w:val="center"/>
            <w:hideMark/>
          </w:tcPr>
          <w:p w14:paraId="69C2C0AF"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r>
      <w:tr w:rsidR="00EC285F" w:rsidRPr="00EC285F" w14:paraId="357D4136" w14:textId="77777777" w:rsidTr="00EC285F">
        <w:trPr>
          <w:trHeight w:val="300"/>
        </w:trPr>
        <w:tc>
          <w:tcPr>
            <w:tcW w:w="3380" w:type="dxa"/>
            <w:gridSpan w:val="2"/>
            <w:tcBorders>
              <w:top w:val="nil"/>
              <w:left w:val="single" w:sz="4" w:space="0" w:color="auto"/>
              <w:bottom w:val="nil"/>
              <w:right w:val="nil"/>
            </w:tcBorders>
            <w:shd w:val="clear" w:color="auto" w:fill="auto"/>
            <w:noWrap/>
            <w:vAlign w:val="bottom"/>
            <w:hideMark/>
          </w:tcPr>
          <w:p w14:paraId="574D953B" w14:textId="77777777" w:rsidR="00EC285F" w:rsidRPr="00EC285F" w:rsidRDefault="00EC285F" w:rsidP="00C019D7">
            <w:pPr>
              <w:spacing w:after="0" w:line="360" w:lineRule="auto"/>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Region Preferred Option:</w:t>
            </w:r>
          </w:p>
        </w:tc>
        <w:tc>
          <w:tcPr>
            <w:tcW w:w="3000" w:type="dxa"/>
            <w:tcBorders>
              <w:top w:val="nil"/>
              <w:left w:val="nil"/>
              <w:bottom w:val="nil"/>
              <w:right w:val="nil"/>
            </w:tcBorders>
            <w:shd w:val="clear" w:color="auto" w:fill="auto"/>
            <w:vAlign w:val="bottom"/>
            <w:hideMark/>
          </w:tcPr>
          <w:p w14:paraId="5662D412" w14:textId="77777777" w:rsidR="00EC285F" w:rsidRPr="00EC285F" w:rsidRDefault="00EC285F" w:rsidP="00C019D7">
            <w:pPr>
              <w:spacing w:after="0" w:line="360" w:lineRule="auto"/>
              <w:rPr>
                <w:rFonts w:ascii="Aptos Narrow" w:eastAsia="Times New Roman" w:hAnsi="Aptos Narrow" w:cs="Times New Roman"/>
                <w:b/>
                <w:bCs/>
                <w:color w:val="000000"/>
                <w:kern w:val="0"/>
                <w:sz w:val="22"/>
                <w:szCs w:val="22"/>
                <w14:ligatures w14:val="none"/>
              </w:rPr>
            </w:pPr>
          </w:p>
        </w:tc>
        <w:tc>
          <w:tcPr>
            <w:tcW w:w="2300" w:type="dxa"/>
            <w:tcBorders>
              <w:top w:val="nil"/>
              <w:left w:val="nil"/>
              <w:bottom w:val="nil"/>
              <w:right w:val="single" w:sz="4" w:space="0" w:color="auto"/>
            </w:tcBorders>
            <w:shd w:val="clear" w:color="auto" w:fill="auto"/>
            <w:vAlign w:val="center"/>
            <w:hideMark/>
          </w:tcPr>
          <w:p w14:paraId="286E9600"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r>
      <w:tr w:rsidR="00EC285F" w:rsidRPr="00EC285F" w14:paraId="51673D4D" w14:textId="77777777" w:rsidTr="00EC285F">
        <w:trPr>
          <w:trHeight w:val="300"/>
        </w:trPr>
        <w:tc>
          <w:tcPr>
            <w:tcW w:w="1740" w:type="dxa"/>
            <w:tcBorders>
              <w:top w:val="single" w:sz="4" w:space="0" w:color="auto"/>
              <w:left w:val="single" w:sz="4" w:space="0" w:color="auto"/>
              <w:bottom w:val="single" w:sz="4" w:space="0" w:color="auto"/>
              <w:right w:val="single" w:sz="4" w:space="0" w:color="auto"/>
            </w:tcBorders>
            <w:shd w:val="clear" w:color="000000" w:fill="83E28E"/>
            <w:noWrap/>
            <w:vAlign w:val="bottom"/>
            <w:hideMark/>
          </w:tcPr>
          <w:p w14:paraId="213B8BD6"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43” minimum </w:t>
            </w:r>
          </w:p>
        </w:tc>
        <w:tc>
          <w:tcPr>
            <w:tcW w:w="1640" w:type="dxa"/>
            <w:tcBorders>
              <w:top w:val="single" w:sz="4" w:space="0" w:color="auto"/>
              <w:left w:val="nil"/>
              <w:bottom w:val="single" w:sz="4" w:space="0" w:color="auto"/>
              <w:right w:val="single" w:sz="4" w:space="0" w:color="auto"/>
            </w:tcBorders>
            <w:shd w:val="clear" w:color="000000" w:fill="83E28E"/>
            <w:noWrap/>
            <w:vAlign w:val="bottom"/>
            <w:hideMark/>
          </w:tcPr>
          <w:p w14:paraId="047054B5"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single" w:sz="4" w:space="0" w:color="auto"/>
              <w:left w:val="nil"/>
              <w:bottom w:val="single" w:sz="4" w:space="0" w:color="auto"/>
              <w:right w:val="single" w:sz="4" w:space="0" w:color="auto"/>
            </w:tcBorders>
            <w:shd w:val="clear" w:color="000000" w:fill="83E28E"/>
            <w:vAlign w:val="bottom"/>
            <w:hideMark/>
          </w:tcPr>
          <w:p w14:paraId="646E4D90"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September 20</w:t>
            </w:r>
          </w:p>
        </w:tc>
        <w:tc>
          <w:tcPr>
            <w:tcW w:w="2300" w:type="dxa"/>
            <w:tcBorders>
              <w:top w:val="single" w:sz="4" w:space="0" w:color="auto"/>
              <w:left w:val="nil"/>
              <w:bottom w:val="single" w:sz="4" w:space="0" w:color="auto"/>
              <w:right w:val="single" w:sz="4" w:space="0" w:color="auto"/>
            </w:tcBorders>
            <w:shd w:val="clear" w:color="000000" w:fill="83E28E"/>
            <w:noWrap/>
            <w:vAlign w:val="bottom"/>
            <w:hideMark/>
          </w:tcPr>
          <w:p w14:paraId="76A274C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-16.3%</w:t>
            </w:r>
          </w:p>
        </w:tc>
      </w:tr>
      <w:tr w:rsidR="00EC285F" w:rsidRPr="00EC285F" w14:paraId="633A3360" w14:textId="77777777" w:rsidTr="00EC285F">
        <w:trPr>
          <w:trHeight w:val="300"/>
        </w:trPr>
        <w:tc>
          <w:tcPr>
            <w:tcW w:w="1740" w:type="dxa"/>
            <w:tcBorders>
              <w:top w:val="nil"/>
              <w:left w:val="single" w:sz="4" w:space="0" w:color="auto"/>
              <w:bottom w:val="nil"/>
              <w:right w:val="nil"/>
            </w:tcBorders>
            <w:shd w:val="clear" w:color="auto" w:fill="auto"/>
            <w:noWrap/>
            <w:vAlign w:val="bottom"/>
            <w:hideMark/>
          </w:tcPr>
          <w:p w14:paraId="00A79D9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c>
          <w:tcPr>
            <w:tcW w:w="1640" w:type="dxa"/>
            <w:tcBorders>
              <w:top w:val="nil"/>
              <w:left w:val="nil"/>
              <w:bottom w:val="nil"/>
              <w:right w:val="nil"/>
            </w:tcBorders>
            <w:shd w:val="clear" w:color="auto" w:fill="auto"/>
            <w:noWrap/>
            <w:vAlign w:val="bottom"/>
            <w:hideMark/>
          </w:tcPr>
          <w:p w14:paraId="3955BC44"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p>
        </w:tc>
        <w:tc>
          <w:tcPr>
            <w:tcW w:w="3000" w:type="dxa"/>
            <w:tcBorders>
              <w:top w:val="nil"/>
              <w:left w:val="nil"/>
              <w:bottom w:val="nil"/>
              <w:right w:val="nil"/>
            </w:tcBorders>
            <w:shd w:val="clear" w:color="auto" w:fill="auto"/>
            <w:vAlign w:val="bottom"/>
            <w:hideMark/>
          </w:tcPr>
          <w:p w14:paraId="292453B3" w14:textId="77777777" w:rsidR="00EC285F" w:rsidRPr="00EC285F" w:rsidRDefault="00EC285F" w:rsidP="00C019D7">
            <w:pPr>
              <w:spacing w:after="0" w:line="360" w:lineRule="auto"/>
              <w:jc w:val="center"/>
              <w:rPr>
                <w:rFonts w:ascii="Times New Roman" w:eastAsia="Times New Roman" w:hAnsi="Times New Roman" w:cs="Times New Roman"/>
                <w:kern w:val="0"/>
                <w:sz w:val="20"/>
                <w:szCs w:val="20"/>
                <w14:ligatures w14:val="none"/>
              </w:rPr>
            </w:pPr>
          </w:p>
        </w:tc>
        <w:tc>
          <w:tcPr>
            <w:tcW w:w="2300" w:type="dxa"/>
            <w:tcBorders>
              <w:top w:val="nil"/>
              <w:left w:val="nil"/>
              <w:bottom w:val="nil"/>
              <w:right w:val="single" w:sz="4" w:space="0" w:color="auto"/>
            </w:tcBorders>
            <w:shd w:val="clear" w:color="auto" w:fill="auto"/>
            <w:noWrap/>
            <w:vAlign w:val="bottom"/>
            <w:hideMark/>
          </w:tcPr>
          <w:p w14:paraId="71ABB48B"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r>
      <w:tr w:rsidR="00EC285F" w:rsidRPr="00EC285F" w14:paraId="70F0E2B5" w14:textId="77777777" w:rsidTr="00EC285F">
        <w:trPr>
          <w:trHeight w:val="300"/>
        </w:trPr>
        <w:tc>
          <w:tcPr>
            <w:tcW w:w="3380" w:type="dxa"/>
            <w:gridSpan w:val="2"/>
            <w:tcBorders>
              <w:top w:val="nil"/>
              <w:left w:val="single" w:sz="4" w:space="0" w:color="auto"/>
              <w:bottom w:val="nil"/>
              <w:right w:val="nil"/>
            </w:tcBorders>
            <w:shd w:val="clear" w:color="auto" w:fill="auto"/>
            <w:noWrap/>
            <w:vAlign w:val="bottom"/>
            <w:hideMark/>
          </w:tcPr>
          <w:p w14:paraId="4AD1E5E2" w14:textId="77777777" w:rsidR="00EC285F" w:rsidRPr="00EC285F" w:rsidRDefault="00EC285F" w:rsidP="00C019D7">
            <w:pPr>
              <w:spacing w:after="0" w:line="360" w:lineRule="auto"/>
              <w:rPr>
                <w:rFonts w:ascii="Aptos Narrow" w:eastAsia="Times New Roman" w:hAnsi="Aptos Narrow" w:cs="Times New Roman"/>
                <w:b/>
                <w:bCs/>
                <w:color w:val="000000"/>
                <w:kern w:val="0"/>
                <w:sz w:val="22"/>
                <w:szCs w:val="22"/>
                <w14:ligatures w14:val="none"/>
              </w:rPr>
            </w:pPr>
            <w:r w:rsidRPr="00EC285F">
              <w:rPr>
                <w:rFonts w:ascii="Aptos Narrow" w:eastAsia="Times New Roman" w:hAnsi="Aptos Narrow" w:cs="Times New Roman"/>
                <w:b/>
                <w:bCs/>
                <w:color w:val="000000"/>
                <w:kern w:val="0"/>
                <w:sz w:val="22"/>
                <w:szCs w:val="22"/>
                <w14:ligatures w14:val="none"/>
              </w:rPr>
              <w:t>Other Available Options:</w:t>
            </w:r>
          </w:p>
        </w:tc>
        <w:tc>
          <w:tcPr>
            <w:tcW w:w="3000" w:type="dxa"/>
            <w:tcBorders>
              <w:top w:val="nil"/>
              <w:left w:val="nil"/>
              <w:bottom w:val="nil"/>
              <w:right w:val="nil"/>
            </w:tcBorders>
            <w:shd w:val="clear" w:color="auto" w:fill="auto"/>
            <w:noWrap/>
            <w:vAlign w:val="bottom"/>
            <w:hideMark/>
          </w:tcPr>
          <w:p w14:paraId="716CDA2D" w14:textId="77777777" w:rsidR="00EC285F" w:rsidRPr="00EC285F" w:rsidRDefault="00EC285F" w:rsidP="00C019D7">
            <w:pPr>
              <w:spacing w:after="0" w:line="360" w:lineRule="auto"/>
              <w:rPr>
                <w:rFonts w:ascii="Aptos Narrow" w:eastAsia="Times New Roman" w:hAnsi="Aptos Narrow" w:cs="Times New Roman"/>
                <w:b/>
                <w:bCs/>
                <w:color w:val="000000"/>
                <w:kern w:val="0"/>
                <w:sz w:val="22"/>
                <w:szCs w:val="22"/>
                <w14:ligatures w14:val="none"/>
              </w:rPr>
            </w:pPr>
          </w:p>
        </w:tc>
        <w:tc>
          <w:tcPr>
            <w:tcW w:w="2300" w:type="dxa"/>
            <w:tcBorders>
              <w:top w:val="nil"/>
              <w:left w:val="nil"/>
              <w:bottom w:val="nil"/>
              <w:right w:val="single" w:sz="4" w:space="0" w:color="auto"/>
            </w:tcBorders>
            <w:shd w:val="clear" w:color="auto" w:fill="auto"/>
            <w:noWrap/>
            <w:vAlign w:val="bottom"/>
            <w:hideMark/>
          </w:tcPr>
          <w:p w14:paraId="77FAF0B2"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w:t>
            </w:r>
          </w:p>
        </w:tc>
      </w:tr>
      <w:tr w:rsidR="00EC285F" w:rsidRPr="00EC285F" w14:paraId="648500CD" w14:textId="77777777" w:rsidTr="00EC285F">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6384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40" minimum</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F1B009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single" w:sz="4" w:space="0" w:color="auto"/>
              <w:left w:val="nil"/>
              <w:bottom w:val="single" w:sz="4" w:space="0" w:color="auto"/>
              <w:right w:val="single" w:sz="4" w:space="0" w:color="auto"/>
            </w:tcBorders>
            <w:shd w:val="clear" w:color="auto" w:fill="auto"/>
            <w:noWrap/>
            <w:vAlign w:val="bottom"/>
            <w:hideMark/>
          </w:tcPr>
          <w:p w14:paraId="19F2B584"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30 – September 15 </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0F2A4AD2"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-24.40%</w:t>
            </w:r>
          </w:p>
        </w:tc>
      </w:tr>
      <w:tr w:rsidR="00EC285F" w:rsidRPr="00EC285F" w14:paraId="54C26CA4" w14:textId="77777777" w:rsidTr="00EC285F">
        <w:trPr>
          <w:trHeight w:val="6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5D7CA03F"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41” minimum </w:t>
            </w:r>
          </w:p>
        </w:tc>
        <w:tc>
          <w:tcPr>
            <w:tcW w:w="1640" w:type="dxa"/>
            <w:tcBorders>
              <w:top w:val="nil"/>
              <w:left w:val="nil"/>
              <w:bottom w:val="single" w:sz="4" w:space="0" w:color="auto"/>
              <w:right w:val="single" w:sz="4" w:space="0" w:color="auto"/>
            </w:tcBorders>
            <w:shd w:val="clear" w:color="000000" w:fill="BFBFBF"/>
            <w:noWrap/>
            <w:vAlign w:val="bottom"/>
            <w:hideMark/>
          </w:tcPr>
          <w:p w14:paraId="111C80AF"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000000" w:fill="BFBFBF"/>
            <w:vAlign w:val="bottom"/>
            <w:hideMark/>
          </w:tcPr>
          <w:p w14:paraId="0D816D5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15 – August 31, OR </w:t>
            </w:r>
            <w:r w:rsidRPr="00EC285F">
              <w:rPr>
                <w:rFonts w:ascii="Aptos Narrow" w:eastAsia="Times New Roman" w:hAnsi="Aptos Narrow" w:cs="Times New Roman"/>
                <w:color w:val="000000"/>
                <w:kern w:val="0"/>
                <w:sz w:val="22"/>
                <w:szCs w:val="22"/>
                <w14:ligatures w14:val="none"/>
              </w:rPr>
              <w:br/>
              <w:t xml:space="preserve">June 27 – September 15 </w:t>
            </w:r>
          </w:p>
        </w:tc>
        <w:tc>
          <w:tcPr>
            <w:tcW w:w="2300" w:type="dxa"/>
            <w:tcBorders>
              <w:top w:val="nil"/>
              <w:left w:val="nil"/>
              <w:bottom w:val="single" w:sz="4" w:space="0" w:color="auto"/>
              <w:right w:val="single" w:sz="4" w:space="0" w:color="auto"/>
            </w:tcBorders>
            <w:shd w:val="clear" w:color="000000" w:fill="BFBFBF"/>
            <w:vAlign w:val="center"/>
            <w:hideMark/>
          </w:tcPr>
          <w:p w14:paraId="394CDCE1"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-17.5% </w:t>
            </w:r>
            <w:r w:rsidRPr="00EC285F">
              <w:rPr>
                <w:rFonts w:ascii="Aptos Narrow" w:eastAsia="Times New Roman" w:hAnsi="Aptos Narrow" w:cs="Times New Roman"/>
                <w:color w:val="000000"/>
                <w:kern w:val="0"/>
                <w:sz w:val="22"/>
                <w:szCs w:val="22"/>
                <w14:ligatures w14:val="none"/>
              </w:rPr>
              <w:br/>
              <w:t xml:space="preserve">-17.1% </w:t>
            </w:r>
          </w:p>
        </w:tc>
      </w:tr>
      <w:tr w:rsidR="00EC285F" w:rsidRPr="00EC285F" w14:paraId="2DF3D63E" w14:textId="77777777" w:rsidTr="00EC285F">
        <w:trPr>
          <w:trHeight w:val="6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1CEC5A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42” minimum </w:t>
            </w:r>
          </w:p>
        </w:tc>
        <w:tc>
          <w:tcPr>
            <w:tcW w:w="1640" w:type="dxa"/>
            <w:tcBorders>
              <w:top w:val="nil"/>
              <w:left w:val="nil"/>
              <w:bottom w:val="single" w:sz="4" w:space="0" w:color="auto"/>
              <w:right w:val="single" w:sz="4" w:space="0" w:color="auto"/>
            </w:tcBorders>
            <w:shd w:val="clear" w:color="auto" w:fill="auto"/>
            <w:noWrap/>
            <w:vAlign w:val="bottom"/>
            <w:hideMark/>
          </w:tcPr>
          <w:p w14:paraId="3481EEC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auto" w:fill="auto"/>
            <w:vAlign w:val="bottom"/>
            <w:hideMark/>
          </w:tcPr>
          <w:p w14:paraId="77B281A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15 – August 31, OR </w:t>
            </w:r>
            <w:r w:rsidRPr="00EC285F">
              <w:rPr>
                <w:rFonts w:ascii="Aptos Narrow" w:eastAsia="Times New Roman" w:hAnsi="Aptos Narrow" w:cs="Times New Roman"/>
                <w:color w:val="000000"/>
                <w:kern w:val="0"/>
                <w:sz w:val="22"/>
                <w:szCs w:val="22"/>
                <w14:ligatures w14:val="none"/>
              </w:rPr>
              <w:br/>
              <w:t xml:space="preserve">June 27 – September 15 </w:t>
            </w:r>
          </w:p>
        </w:tc>
        <w:tc>
          <w:tcPr>
            <w:tcW w:w="2300" w:type="dxa"/>
            <w:tcBorders>
              <w:top w:val="nil"/>
              <w:left w:val="nil"/>
              <w:bottom w:val="single" w:sz="4" w:space="0" w:color="auto"/>
              <w:right w:val="single" w:sz="4" w:space="0" w:color="auto"/>
            </w:tcBorders>
            <w:shd w:val="clear" w:color="auto" w:fill="auto"/>
            <w:vAlign w:val="center"/>
            <w:hideMark/>
          </w:tcPr>
          <w:p w14:paraId="16253F23"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-20.4% </w:t>
            </w:r>
            <w:r w:rsidRPr="00EC285F">
              <w:rPr>
                <w:rFonts w:ascii="Aptos Narrow" w:eastAsia="Times New Roman" w:hAnsi="Aptos Narrow" w:cs="Times New Roman"/>
                <w:color w:val="000000"/>
                <w:kern w:val="0"/>
                <w:sz w:val="22"/>
                <w:szCs w:val="22"/>
                <w14:ligatures w14:val="none"/>
              </w:rPr>
              <w:br/>
              <w:t>-20.1%</w:t>
            </w:r>
          </w:p>
        </w:tc>
      </w:tr>
      <w:tr w:rsidR="00EC285F" w:rsidRPr="00EC285F" w14:paraId="34D741E5" w14:textId="77777777" w:rsidTr="00EC285F">
        <w:trPr>
          <w:trHeight w:val="3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7E6EC8A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43” minimum </w:t>
            </w:r>
          </w:p>
        </w:tc>
        <w:tc>
          <w:tcPr>
            <w:tcW w:w="1640" w:type="dxa"/>
            <w:tcBorders>
              <w:top w:val="nil"/>
              <w:left w:val="nil"/>
              <w:bottom w:val="single" w:sz="4" w:space="0" w:color="auto"/>
              <w:right w:val="single" w:sz="4" w:space="0" w:color="auto"/>
            </w:tcBorders>
            <w:shd w:val="clear" w:color="000000" w:fill="BFBFBF"/>
            <w:noWrap/>
            <w:vAlign w:val="bottom"/>
            <w:hideMark/>
          </w:tcPr>
          <w:p w14:paraId="7B14E7D0"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000000" w:fill="BFBFBF"/>
            <w:vAlign w:val="bottom"/>
            <w:hideMark/>
          </w:tcPr>
          <w:p w14:paraId="6C0E1078"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September 15</w:t>
            </w:r>
          </w:p>
        </w:tc>
        <w:tc>
          <w:tcPr>
            <w:tcW w:w="2300" w:type="dxa"/>
            <w:tcBorders>
              <w:top w:val="nil"/>
              <w:left w:val="nil"/>
              <w:bottom w:val="single" w:sz="4" w:space="0" w:color="auto"/>
              <w:right w:val="single" w:sz="4" w:space="0" w:color="auto"/>
            </w:tcBorders>
            <w:shd w:val="clear" w:color="000000" w:fill="BFBFBF"/>
            <w:noWrap/>
            <w:vAlign w:val="center"/>
            <w:hideMark/>
          </w:tcPr>
          <w:p w14:paraId="729AB9CF"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-20.5%</w:t>
            </w:r>
          </w:p>
        </w:tc>
      </w:tr>
      <w:tr w:rsidR="00EC285F" w:rsidRPr="00EC285F" w14:paraId="7F15A45F" w14:textId="77777777" w:rsidTr="00EC285F">
        <w:trPr>
          <w:trHeight w:val="6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107C63B"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- 52" slot </w:t>
            </w:r>
          </w:p>
        </w:tc>
        <w:tc>
          <w:tcPr>
            <w:tcW w:w="1640" w:type="dxa"/>
            <w:tcBorders>
              <w:top w:val="nil"/>
              <w:left w:val="nil"/>
              <w:bottom w:val="single" w:sz="4" w:space="0" w:color="auto"/>
              <w:right w:val="single" w:sz="4" w:space="0" w:color="auto"/>
            </w:tcBorders>
            <w:shd w:val="clear" w:color="auto" w:fill="auto"/>
            <w:noWrap/>
            <w:vAlign w:val="bottom"/>
            <w:hideMark/>
          </w:tcPr>
          <w:p w14:paraId="624CAFA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auto" w:fill="auto"/>
            <w:vAlign w:val="bottom"/>
            <w:hideMark/>
          </w:tcPr>
          <w:p w14:paraId="32FC95C8"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15 – August 31, OR </w:t>
            </w:r>
            <w:r w:rsidRPr="00EC285F">
              <w:rPr>
                <w:rFonts w:ascii="Aptos Narrow" w:eastAsia="Times New Roman" w:hAnsi="Aptos Narrow" w:cs="Times New Roman"/>
                <w:color w:val="000000"/>
                <w:kern w:val="0"/>
                <w:sz w:val="22"/>
                <w:szCs w:val="22"/>
                <w14:ligatures w14:val="none"/>
              </w:rPr>
              <w:br/>
              <w:t xml:space="preserve">June 20 – September 15 </w:t>
            </w:r>
          </w:p>
        </w:tc>
        <w:tc>
          <w:tcPr>
            <w:tcW w:w="2300" w:type="dxa"/>
            <w:tcBorders>
              <w:top w:val="nil"/>
              <w:left w:val="nil"/>
              <w:bottom w:val="single" w:sz="4" w:space="0" w:color="auto"/>
              <w:right w:val="single" w:sz="4" w:space="0" w:color="auto"/>
            </w:tcBorders>
            <w:shd w:val="clear" w:color="auto" w:fill="auto"/>
            <w:vAlign w:val="center"/>
            <w:hideMark/>
          </w:tcPr>
          <w:p w14:paraId="1F0ADEE4"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-23.4% </w:t>
            </w:r>
            <w:r w:rsidRPr="00EC285F">
              <w:rPr>
                <w:rFonts w:ascii="Aptos Narrow" w:eastAsia="Times New Roman" w:hAnsi="Aptos Narrow" w:cs="Times New Roman"/>
                <w:color w:val="000000"/>
                <w:kern w:val="0"/>
                <w:sz w:val="22"/>
                <w:szCs w:val="22"/>
                <w14:ligatures w14:val="none"/>
              </w:rPr>
              <w:br/>
              <w:t xml:space="preserve">-17.3% </w:t>
            </w:r>
          </w:p>
        </w:tc>
      </w:tr>
      <w:tr w:rsidR="00EC285F" w:rsidRPr="00EC285F" w14:paraId="0C4B9F79" w14:textId="77777777" w:rsidTr="00EC285F">
        <w:trPr>
          <w:trHeight w:val="6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7C4FBEA7"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- 54" slot </w:t>
            </w:r>
          </w:p>
        </w:tc>
        <w:tc>
          <w:tcPr>
            <w:tcW w:w="1640" w:type="dxa"/>
            <w:tcBorders>
              <w:top w:val="nil"/>
              <w:left w:val="nil"/>
              <w:bottom w:val="single" w:sz="4" w:space="0" w:color="auto"/>
              <w:right w:val="single" w:sz="4" w:space="0" w:color="auto"/>
            </w:tcBorders>
            <w:shd w:val="clear" w:color="000000" w:fill="BFBFBF"/>
            <w:noWrap/>
            <w:vAlign w:val="bottom"/>
            <w:hideMark/>
          </w:tcPr>
          <w:p w14:paraId="1A520D7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000000" w:fill="BFBFBF"/>
            <w:vAlign w:val="bottom"/>
            <w:hideMark/>
          </w:tcPr>
          <w:p w14:paraId="58DB97B9"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August 31 OR</w:t>
            </w:r>
            <w:r w:rsidRPr="00EC285F">
              <w:rPr>
                <w:rFonts w:ascii="Aptos Narrow" w:eastAsia="Times New Roman" w:hAnsi="Aptos Narrow" w:cs="Times New Roman"/>
                <w:color w:val="000000"/>
                <w:kern w:val="0"/>
                <w:sz w:val="22"/>
                <w:szCs w:val="22"/>
                <w14:ligatures w14:val="none"/>
              </w:rPr>
              <w:br/>
              <w:t xml:space="preserve"> June 27 – September 15 </w:t>
            </w:r>
          </w:p>
        </w:tc>
        <w:tc>
          <w:tcPr>
            <w:tcW w:w="2300" w:type="dxa"/>
            <w:tcBorders>
              <w:top w:val="nil"/>
              <w:left w:val="nil"/>
              <w:bottom w:val="single" w:sz="4" w:space="0" w:color="auto"/>
              <w:right w:val="single" w:sz="4" w:space="0" w:color="auto"/>
            </w:tcBorders>
            <w:shd w:val="clear" w:color="000000" w:fill="BFBFBF"/>
            <w:vAlign w:val="center"/>
            <w:hideMark/>
          </w:tcPr>
          <w:p w14:paraId="7B5879F5"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-19.3% </w:t>
            </w:r>
            <w:r w:rsidRPr="00EC285F">
              <w:rPr>
                <w:rFonts w:ascii="Aptos Narrow" w:eastAsia="Times New Roman" w:hAnsi="Aptos Narrow" w:cs="Times New Roman"/>
                <w:color w:val="000000"/>
                <w:kern w:val="0"/>
                <w:sz w:val="22"/>
                <w:szCs w:val="22"/>
                <w14:ligatures w14:val="none"/>
              </w:rPr>
              <w:br/>
              <w:t xml:space="preserve">-18.9% </w:t>
            </w:r>
          </w:p>
        </w:tc>
      </w:tr>
      <w:tr w:rsidR="00EC285F" w:rsidRPr="00EC285F" w14:paraId="459FB758" w14:textId="77777777" w:rsidTr="00EC285F">
        <w:trPr>
          <w:trHeight w:val="6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4C3194FC"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40” - 55" slot </w:t>
            </w:r>
          </w:p>
        </w:tc>
        <w:tc>
          <w:tcPr>
            <w:tcW w:w="1640" w:type="dxa"/>
            <w:tcBorders>
              <w:top w:val="nil"/>
              <w:left w:val="nil"/>
              <w:bottom w:val="single" w:sz="4" w:space="0" w:color="auto"/>
              <w:right w:val="single" w:sz="4" w:space="0" w:color="auto"/>
            </w:tcBorders>
            <w:shd w:val="clear" w:color="auto" w:fill="auto"/>
            <w:noWrap/>
            <w:vAlign w:val="bottom"/>
            <w:hideMark/>
          </w:tcPr>
          <w:p w14:paraId="252D71F2"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auto" w:fill="auto"/>
            <w:vAlign w:val="bottom"/>
            <w:hideMark/>
          </w:tcPr>
          <w:p w14:paraId="5B79280E"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June 15 – August 27, OR </w:t>
            </w:r>
            <w:r w:rsidRPr="00EC285F">
              <w:rPr>
                <w:rFonts w:ascii="Aptos Narrow" w:eastAsia="Times New Roman" w:hAnsi="Aptos Narrow" w:cs="Times New Roman"/>
                <w:color w:val="000000"/>
                <w:kern w:val="0"/>
                <w:sz w:val="22"/>
                <w:szCs w:val="22"/>
                <w14:ligatures w14:val="none"/>
              </w:rPr>
              <w:br/>
              <w:t xml:space="preserve">June 30 – September 15*** </w:t>
            </w:r>
          </w:p>
        </w:tc>
        <w:tc>
          <w:tcPr>
            <w:tcW w:w="2300" w:type="dxa"/>
            <w:tcBorders>
              <w:top w:val="nil"/>
              <w:left w:val="nil"/>
              <w:bottom w:val="single" w:sz="4" w:space="0" w:color="auto"/>
              <w:right w:val="single" w:sz="4" w:space="0" w:color="auto"/>
            </w:tcBorders>
            <w:shd w:val="clear" w:color="auto" w:fill="auto"/>
            <w:vAlign w:val="center"/>
            <w:hideMark/>
          </w:tcPr>
          <w:p w14:paraId="52028471"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-18.3% </w:t>
            </w:r>
            <w:r w:rsidRPr="00EC285F">
              <w:rPr>
                <w:rFonts w:ascii="Aptos Narrow" w:eastAsia="Times New Roman" w:hAnsi="Aptos Narrow" w:cs="Times New Roman"/>
                <w:color w:val="000000"/>
                <w:kern w:val="0"/>
                <w:sz w:val="22"/>
                <w:szCs w:val="22"/>
                <w14:ligatures w14:val="none"/>
              </w:rPr>
              <w:br/>
              <w:t xml:space="preserve">-27.4% </w:t>
            </w:r>
          </w:p>
        </w:tc>
      </w:tr>
      <w:tr w:rsidR="00EC285F" w:rsidRPr="00EC285F" w14:paraId="7A63ACBF" w14:textId="77777777" w:rsidTr="00EC285F">
        <w:trPr>
          <w:trHeight w:val="300"/>
        </w:trPr>
        <w:tc>
          <w:tcPr>
            <w:tcW w:w="1740" w:type="dxa"/>
            <w:tcBorders>
              <w:top w:val="nil"/>
              <w:left w:val="single" w:sz="4" w:space="0" w:color="auto"/>
              <w:bottom w:val="single" w:sz="4" w:space="0" w:color="auto"/>
              <w:right w:val="single" w:sz="4" w:space="0" w:color="auto"/>
            </w:tcBorders>
            <w:shd w:val="clear" w:color="000000" w:fill="BFBFBF"/>
            <w:noWrap/>
            <w:vAlign w:val="bottom"/>
            <w:hideMark/>
          </w:tcPr>
          <w:p w14:paraId="1B499213"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41” - 52" slot </w:t>
            </w:r>
          </w:p>
        </w:tc>
        <w:tc>
          <w:tcPr>
            <w:tcW w:w="1640" w:type="dxa"/>
            <w:tcBorders>
              <w:top w:val="nil"/>
              <w:left w:val="nil"/>
              <w:bottom w:val="single" w:sz="4" w:space="0" w:color="auto"/>
              <w:right w:val="single" w:sz="4" w:space="0" w:color="auto"/>
            </w:tcBorders>
            <w:shd w:val="clear" w:color="000000" w:fill="BFBFBF"/>
            <w:noWrap/>
            <w:vAlign w:val="bottom"/>
            <w:hideMark/>
          </w:tcPr>
          <w:p w14:paraId="707593FA"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000000" w:fill="BFBFBF"/>
            <w:vAlign w:val="bottom"/>
            <w:hideMark/>
          </w:tcPr>
          <w:p w14:paraId="69BADD0C"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September 15</w:t>
            </w:r>
          </w:p>
        </w:tc>
        <w:tc>
          <w:tcPr>
            <w:tcW w:w="2300" w:type="dxa"/>
            <w:tcBorders>
              <w:top w:val="nil"/>
              <w:left w:val="nil"/>
              <w:bottom w:val="single" w:sz="4" w:space="0" w:color="auto"/>
              <w:right w:val="single" w:sz="4" w:space="0" w:color="auto"/>
            </w:tcBorders>
            <w:shd w:val="clear" w:color="000000" w:fill="BFBFBF"/>
            <w:noWrap/>
            <w:vAlign w:val="center"/>
            <w:hideMark/>
          </w:tcPr>
          <w:p w14:paraId="40BEFFAF"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-19.1% </w:t>
            </w:r>
          </w:p>
        </w:tc>
      </w:tr>
      <w:tr w:rsidR="00EC285F" w:rsidRPr="00EC285F" w14:paraId="53724669" w14:textId="77777777" w:rsidTr="00EC285F">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CE702DC"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42” - 54" slot </w:t>
            </w:r>
          </w:p>
        </w:tc>
        <w:tc>
          <w:tcPr>
            <w:tcW w:w="1640" w:type="dxa"/>
            <w:tcBorders>
              <w:top w:val="nil"/>
              <w:left w:val="nil"/>
              <w:bottom w:val="single" w:sz="4" w:space="0" w:color="auto"/>
              <w:right w:val="single" w:sz="4" w:space="0" w:color="auto"/>
            </w:tcBorders>
            <w:shd w:val="clear" w:color="auto" w:fill="auto"/>
            <w:noWrap/>
            <w:vAlign w:val="bottom"/>
            <w:hideMark/>
          </w:tcPr>
          <w:p w14:paraId="2565AC48"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2-fish</w:t>
            </w:r>
          </w:p>
        </w:tc>
        <w:tc>
          <w:tcPr>
            <w:tcW w:w="3000" w:type="dxa"/>
            <w:tcBorders>
              <w:top w:val="nil"/>
              <w:left w:val="nil"/>
              <w:bottom w:val="single" w:sz="4" w:space="0" w:color="auto"/>
              <w:right w:val="single" w:sz="4" w:space="0" w:color="auto"/>
            </w:tcBorders>
            <w:shd w:val="clear" w:color="auto" w:fill="auto"/>
            <w:vAlign w:val="bottom"/>
            <w:hideMark/>
          </w:tcPr>
          <w:p w14:paraId="488F1162"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June 15 – September 15</w:t>
            </w:r>
          </w:p>
        </w:tc>
        <w:tc>
          <w:tcPr>
            <w:tcW w:w="2300" w:type="dxa"/>
            <w:tcBorders>
              <w:top w:val="nil"/>
              <w:left w:val="nil"/>
              <w:bottom w:val="single" w:sz="4" w:space="0" w:color="auto"/>
              <w:right w:val="single" w:sz="4" w:space="0" w:color="auto"/>
            </w:tcBorders>
            <w:shd w:val="clear" w:color="auto" w:fill="auto"/>
            <w:noWrap/>
            <w:vAlign w:val="center"/>
            <w:hideMark/>
          </w:tcPr>
          <w:p w14:paraId="339AC487" w14:textId="77777777" w:rsidR="00EC285F" w:rsidRPr="00EC285F" w:rsidRDefault="00EC285F" w:rsidP="00C019D7">
            <w:pPr>
              <w:spacing w:after="0" w:line="360" w:lineRule="auto"/>
              <w:jc w:val="center"/>
              <w:rPr>
                <w:rFonts w:ascii="Aptos Narrow" w:eastAsia="Times New Roman" w:hAnsi="Aptos Narrow" w:cs="Times New Roman"/>
                <w:color w:val="000000"/>
                <w:kern w:val="0"/>
                <w:sz w:val="22"/>
                <w:szCs w:val="22"/>
                <w14:ligatures w14:val="none"/>
              </w:rPr>
            </w:pPr>
            <w:r w:rsidRPr="00EC285F">
              <w:rPr>
                <w:rFonts w:ascii="Aptos Narrow" w:eastAsia="Times New Roman" w:hAnsi="Aptos Narrow" w:cs="Times New Roman"/>
                <w:color w:val="000000"/>
                <w:kern w:val="0"/>
                <w:sz w:val="22"/>
                <w:szCs w:val="22"/>
                <w14:ligatures w14:val="none"/>
              </w:rPr>
              <w:t xml:space="preserve">-17.8% </w:t>
            </w:r>
          </w:p>
        </w:tc>
      </w:tr>
    </w:tbl>
    <w:p w14:paraId="37EB0FFE" w14:textId="77777777" w:rsidR="0042772F" w:rsidRDefault="0042772F" w:rsidP="00C019D7">
      <w:pPr>
        <w:spacing w:after="0" w:line="360" w:lineRule="auto"/>
        <w:rPr>
          <w:b/>
          <w:bCs/>
        </w:rPr>
      </w:pPr>
    </w:p>
    <w:p w14:paraId="50B7970C" w14:textId="77777777" w:rsidR="00C7272B" w:rsidRDefault="00C7272B" w:rsidP="00C019D7">
      <w:pPr>
        <w:spacing w:after="0" w:line="360" w:lineRule="auto"/>
        <w:rPr>
          <w:b/>
          <w:bCs/>
        </w:rPr>
      </w:pPr>
    </w:p>
    <w:p w14:paraId="5A73316B" w14:textId="77777777" w:rsidR="0056579E" w:rsidRDefault="0056579E" w:rsidP="00C019D7">
      <w:pPr>
        <w:spacing w:after="0" w:line="360" w:lineRule="auto"/>
      </w:pPr>
    </w:p>
    <w:sectPr w:rsidR="0056579E" w:rsidSect="00A6050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04"/>
    <w:rsid w:val="00027146"/>
    <w:rsid w:val="00030E72"/>
    <w:rsid w:val="00037EFD"/>
    <w:rsid w:val="0007174D"/>
    <w:rsid w:val="00071899"/>
    <w:rsid w:val="000744B4"/>
    <w:rsid w:val="00074A7C"/>
    <w:rsid w:val="000A03E1"/>
    <w:rsid w:val="00127A9A"/>
    <w:rsid w:val="001319AD"/>
    <w:rsid w:val="00175159"/>
    <w:rsid w:val="001E389E"/>
    <w:rsid w:val="001F4DF7"/>
    <w:rsid w:val="002222DE"/>
    <w:rsid w:val="002F556D"/>
    <w:rsid w:val="00347D15"/>
    <w:rsid w:val="003E7BF8"/>
    <w:rsid w:val="0042772F"/>
    <w:rsid w:val="0044036E"/>
    <w:rsid w:val="004C1026"/>
    <w:rsid w:val="004C7EAC"/>
    <w:rsid w:val="005174AA"/>
    <w:rsid w:val="0056579E"/>
    <w:rsid w:val="00595A6E"/>
    <w:rsid w:val="00605D84"/>
    <w:rsid w:val="006626E5"/>
    <w:rsid w:val="00665967"/>
    <w:rsid w:val="00667E0F"/>
    <w:rsid w:val="006E183F"/>
    <w:rsid w:val="006E75D5"/>
    <w:rsid w:val="00720A08"/>
    <w:rsid w:val="00733650"/>
    <w:rsid w:val="007504E8"/>
    <w:rsid w:val="00786433"/>
    <w:rsid w:val="007864DD"/>
    <w:rsid w:val="007E71AC"/>
    <w:rsid w:val="008A61B3"/>
    <w:rsid w:val="008C6360"/>
    <w:rsid w:val="009010F7"/>
    <w:rsid w:val="0092100F"/>
    <w:rsid w:val="009313E9"/>
    <w:rsid w:val="00950632"/>
    <w:rsid w:val="00966E4E"/>
    <w:rsid w:val="0098075A"/>
    <w:rsid w:val="009B0302"/>
    <w:rsid w:val="00A13CAB"/>
    <w:rsid w:val="00A6050F"/>
    <w:rsid w:val="00A82119"/>
    <w:rsid w:val="00AA5304"/>
    <w:rsid w:val="00AB7CBD"/>
    <w:rsid w:val="00B00F4C"/>
    <w:rsid w:val="00B45995"/>
    <w:rsid w:val="00B86F11"/>
    <w:rsid w:val="00BD53D4"/>
    <w:rsid w:val="00C019D7"/>
    <w:rsid w:val="00C1743A"/>
    <w:rsid w:val="00C21672"/>
    <w:rsid w:val="00C7272B"/>
    <w:rsid w:val="00C75557"/>
    <w:rsid w:val="00C84931"/>
    <w:rsid w:val="00CD2244"/>
    <w:rsid w:val="00CD6593"/>
    <w:rsid w:val="00D10458"/>
    <w:rsid w:val="00D8034C"/>
    <w:rsid w:val="00DF05A4"/>
    <w:rsid w:val="00E700AB"/>
    <w:rsid w:val="00E767B6"/>
    <w:rsid w:val="00E90798"/>
    <w:rsid w:val="00EC285F"/>
    <w:rsid w:val="00ED317E"/>
    <w:rsid w:val="00F518A2"/>
    <w:rsid w:val="00F545A4"/>
    <w:rsid w:val="00F60BFF"/>
    <w:rsid w:val="00F64CF2"/>
    <w:rsid w:val="00F72860"/>
    <w:rsid w:val="00F7677A"/>
    <w:rsid w:val="00F92677"/>
    <w:rsid w:val="00FA41EB"/>
    <w:rsid w:val="00FE0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6489B"/>
  <w15:chartTrackingRefBased/>
  <w15:docId w15:val="{8677FCF7-257D-4B8D-9535-C47C19B7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53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53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53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53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53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53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53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53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53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3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53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53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53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53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53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53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53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5304"/>
    <w:rPr>
      <w:rFonts w:eastAsiaTheme="majorEastAsia" w:cstheme="majorBidi"/>
      <w:color w:val="272727" w:themeColor="text1" w:themeTint="D8"/>
    </w:rPr>
  </w:style>
  <w:style w:type="paragraph" w:styleId="Title">
    <w:name w:val="Title"/>
    <w:basedOn w:val="Normal"/>
    <w:next w:val="Normal"/>
    <w:link w:val="TitleChar"/>
    <w:uiPriority w:val="10"/>
    <w:qFormat/>
    <w:rsid w:val="00AA53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3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53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53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5304"/>
    <w:pPr>
      <w:spacing w:before="160"/>
      <w:jc w:val="center"/>
    </w:pPr>
    <w:rPr>
      <w:i/>
      <w:iCs/>
      <w:color w:val="404040" w:themeColor="text1" w:themeTint="BF"/>
    </w:rPr>
  </w:style>
  <w:style w:type="character" w:customStyle="1" w:styleId="QuoteChar">
    <w:name w:val="Quote Char"/>
    <w:basedOn w:val="DefaultParagraphFont"/>
    <w:link w:val="Quote"/>
    <w:uiPriority w:val="29"/>
    <w:rsid w:val="00AA5304"/>
    <w:rPr>
      <w:i/>
      <w:iCs/>
      <w:color w:val="404040" w:themeColor="text1" w:themeTint="BF"/>
    </w:rPr>
  </w:style>
  <w:style w:type="paragraph" w:styleId="ListParagraph">
    <w:name w:val="List Paragraph"/>
    <w:basedOn w:val="Normal"/>
    <w:uiPriority w:val="34"/>
    <w:qFormat/>
    <w:rsid w:val="00AA5304"/>
    <w:pPr>
      <w:ind w:left="720"/>
      <w:contextualSpacing/>
    </w:pPr>
  </w:style>
  <w:style w:type="character" w:styleId="IntenseEmphasis">
    <w:name w:val="Intense Emphasis"/>
    <w:basedOn w:val="DefaultParagraphFont"/>
    <w:uiPriority w:val="21"/>
    <w:qFormat/>
    <w:rsid w:val="00AA5304"/>
    <w:rPr>
      <w:i/>
      <w:iCs/>
      <w:color w:val="0F4761" w:themeColor="accent1" w:themeShade="BF"/>
    </w:rPr>
  </w:style>
  <w:style w:type="paragraph" w:styleId="IntenseQuote">
    <w:name w:val="Intense Quote"/>
    <w:basedOn w:val="Normal"/>
    <w:next w:val="Normal"/>
    <w:link w:val="IntenseQuoteChar"/>
    <w:uiPriority w:val="30"/>
    <w:qFormat/>
    <w:rsid w:val="00AA53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5304"/>
    <w:rPr>
      <w:i/>
      <w:iCs/>
      <w:color w:val="0F4761" w:themeColor="accent1" w:themeShade="BF"/>
    </w:rPr>
  </w:style>
  <w:style w:type="character" w:styleId="IntenseReference">
    <w:name w:val="Intense Reference"/>
    <w:basedOn w:val="DefaultParagraphFont"/>
    <w:uiPriority w:val="32"/>
    <w:qFormat/>
    <w:rsid w:val="00AA53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597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5</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Darrow, Jamie [DEP]</dc:creator>
  <cp:keywords/>
  <dc:description/>
  <cp:lastModifiedBy>Brust, Jeffrey [DEP]</cp:lastModifiedBy>
  <cp:revision>69</cp:revision>
  <dcterms:created xsi:type="dcterms:W3CDTF">2024-12-19T14:02:00Z</dcterms:created>
  <dcterms:modified xsi:type="dcterms:W3CDTF">2024-12-30T17:01:00Z</dcterms:modified>
</cp:coreProperties>
</file>