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198ED" w14:textId="00C5F242" w:rsidR="00D5268A" w:rsidRPr="00D5268A" w:rsidRDefault="00D5268A" w:rsidP="00D5268A">
      <w:r w:rsidRPr="00D5268A">
        <w:rPr>
          <w:b/>
          <w:bCs/>
        </w:rPr>
        <w:t>T</w:t>
      </w:r>
      <w:r w:rsidRPr="00D5268A">
        <w:rPr>
          <w:b/>
          <w:bCs/>
        </w:rPr>
        <w:t>able 3.</w:t>
      </w:r>
      <w:r w:rsidRPr="00D5268A">
        <w:t xml:space="preserve"> Management options (not an exhaustive list) estimated to achieve at least a 15.9%</w:t>
      </w:r>
      <w:r>
        <w:t xml:space="preserve"> </w:t>
      </w:r>
      <w:r w:rsidRPr="00D5268A">
        <w:t xml:space="preserve">reduction in harvest for the Northern Region. Each option includes three components: size limit, </w:t>
      </w:r>
      <w:r>
        <w:t>v</w:t>
      </w:r>
      <w:r w:rsidRPr="00D5268A">
        <w:t xml:space="preserve">essel limit, and season. This table lists options that were closest (but not below) 15.9%. Each season option includes two possibilities: shortening the beginning of the season or shortening the end of the season. </w:t>
      </w:r>
      <w:r w:rsidRPr="00D5268A">
        <w:rPr>
          <w:u w:val="single"/>
        </w:rPr>
        <w:t>Note:</w:t>
      </w:r>
      <w:r w:rsidRPr="00D5268A">
        <w:t xml:space="preserve"> The 2-fish vessel limit options assume the upper bound increase of RI-DE harvest due to increasing their vessel limit (2.5% increase to regional harvest).</w:t>
      </w:r>
    </w:p>
    <w:p w14:paraId="5D746408" w14:textId="77777777" w:rsidR="00D5268A" w:rsidRPr="00D5268A" w:rsidRDefault="00D5268A" w:rsidP="00D5268A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6"/>
        <w:gridCol w:w="1440"/>
        <w:gridCol w:w="3240"/>
        <w:gridCol w:w="2429"/>
      </w:tblGrid>
      <w:tr w:rsidR="00D5268A" w:rsidRPr="00D5268A" w14:paraId="7F82B451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/>
          <w:jc w:val="center"/>
        </w:trPr>
        <w:tc>
          <w:tcPr>
            <w:tcW w:w="18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14:paraId="552E7FFD" w14:textId="77777777" w:rsidR="00D5268A" w:rsidRPr="00D5268A" w:rsidRDefault="00D5268A" w:rsidP="00D5268A">
            <w:pPr>
              <w:jc w:val="center"/>
              <w:rPr>
                <w:b/>
                <w:bCs/>
              </w:rPr>
            </w:pPr>
            <w:r w:rsidRPr="00D5268A">
              <w:rPr>
                <w:b/>
                <w:bCs/>
              </w:rPr>
              <w:t>Size Limit for RI-VA (TL)</w:t>
            </w:r>
          </w:p>
        </w:tc>
        <w:tc>
          <w:tcPr>
            <w:tcW w:w="14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14:paraId="73F0FB20" w14:textId="77777777" w:rsidR="00D5268A" w:rsidRPr="00D5268A" w:rsidRDefault="00D5268A" w:rsidP="00D5268A">
            <w:pPr>
              <w:jc w:val="center"/>
              <w:rPr>
                <w:b/>
                <w:bCs/>
              </w:rPr>
            </w:pPr>
            <w:r w:rsidRPr="00D5268A">
              <w:rPr>
                <w:b/>
                <w:bCs/>
              </w:rPr>
              <w:t>Vessel Limit for RI-VA</w:t>
            </w:r>
          </w:p>
        </w:tc>
        <w:tc>
          <w:tcPr>
            <w:tcW w:w="32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14:paraId="7EDF023E" w14:textId="77777777" w:rsidR="00D5268A" w:rsidRPr="00D5268A" w:rsidRDefault="00D5268A" w:rsidP="00D5268A">
            <w:pPr>
              <w:jc w:val="center"/>
              <w:rPr>
                <w:b/>
                <w:bCs/>
              </w:rPr>
            </w:pPr>
            <w:r w:rsidRPr="00D5268A">
              <w:rPr>
                <w:b/>
                <w:bCs/>
              </w:rPr>
              <w:t>Season for MD-VA*</w:t>
            </w:r>
          </w:p>
        </w:tc>
        <w:tc>
          <w:tcPr>
            <w:tcW w:w="242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14:paraId="4C65FC09" w14:textId="77777777" w:rsidR="00D5268A" w:rsidRPr="00D5268A" w:rsidRDefault="00D5268A" w:rsidP="00D5268A">
            <w:pPr>
              <w:jc w:val="center"/>
              <w:rPr>
                <w:b/>
                <w:bCs/>
              </w:rPr>
            </w:pPr>
            <w:r w:rsidRPr="00D5268A">
              <w:rPr>
                <w:b/>
                <w:bCs/>
              </w:rPr>
              <w:t>Total Estimated Cumulative Reduction</w:t>
            </w:r>
          </w:p>
        </w:tc>
      </w:tr>
      <w:tr w:rsidR="00D5268A" w:rsidRPr="00D5268A" w14:paraId="4602EA59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/>
          <w:jc w:val="center"/>
        </w:trPr>
        <w:tc>
          <w:tcPr>
            <w:tcW w:w="1806" w:type="dxa"/>
            <w:tcBorders>
              <w:top w:val="none" w:sz="6" w:space="0" w:color="auto"/>
              <w:left w:val="none" w:sz="6" w:space="0" w:color="auto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544C7977" w14:textId="77777777" w:rsidR="00D5268A" w:rsidRPr="00D5268A" w:rsidRDefault="00D5268A" w:rsidP="00D5268A">
            <w:pPr>
              <w:jc w:val="center"/>
            </w:pPr>
            <w:r w:rsidRPr="00D5268A">
              <w:t>40” minimum</w:t>
            </w:r>
          </w:p>
        </w:tc>
        <w:tc>
          <w:tcPr>
            <w:tcW w:w="1440" w:type="dxa"/>
            <w:tcBorders>
              <w:top w:val="none" w:sz="6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14DCB5C1" w14:textId="77777777" w:rsidR="00D5268A" w:rsidRPr="00D5268A" w:rsidRDefault="00D5268A" w:rsidP="00D5268A">
            <w:pPr>
              <w:jc w:val="center"/>
            </w:pPr>
            <w:r w:rsidRPr="00D5268A">
              <w:t>1-fish</w:t>
            </w:r>
          </w:p>
        </w:tc>
        <w:tc>
          <w:tcPr>
            <w:tcW w:w="3240" w:type="dxa"/>
            <w:tcBorders>
              <w:top w:val="none" w:sz="6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723579B0" w14:textId="77777777" w:rsidR="00D5268A" w:rsidRPr="00D5268A" w:rsidRDefault="00D5268A" w:rsidP="00D5268A">
            <w:pPr>
              <w:jc w:val="center"/>
            </w:pPr>
            <w:r w:rsidRPr="00D5268A">
              <w:t>June 8 – September 15, OR</w:t>
            </w:r>
          </w:p>
          <w:p w14:paraId="088A4735" w14:textId="77777777" w:rsidR="00D5268A" w:rsidRPr="00D5268A" w:rsidRDefault="00D5268A" w:rsidP="00D5268A">
            <w:pPr>
              <w:jc w:val="center"/>
            </w:pPr>
            <w:r w:rsidRPr="00D5268A">
              <w:t>June 15 – September 22</w:t>
            </w:r>
          </w:p>
        </w:tc>
        <w:tc>
          <w:tcPr>
            <w:tcW w:w="2429" w:type="dxa"/>
            <w:tcBorders>
              <w:top w:val="none" w:sz="6" w:space="0" w:color="auto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3BDA6FE1" w14:textId="77777777" w:rsidR="00D5268A" w:rsidRPr="00D5268A" w:rsidRDefault="00D5268A" w:rsidP="00D5268A">
            <w:pPr>
              <w:jc w:val="center"/>
            </w:pPr>
            <w:r w:rsidRPr="00D5268A">
              <w:t>-16.6%</w:t>
            </w:r>
          </w:p>
        </w:tc>
      </w:tr>
      <w:tr w:rsidR="00D5268A" w:rsidRPr="00D5268A" w14:paraId="1BAF4B5E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</w:tcPr>
          <w:p w14:paraId="78E5297A" w14:textId="77777777" w:rsidR="00D5268A" w:rsidRPr="00D5268A" w:rsidRDefault="00D5268A" w:rsidP="00D5268A">
            <w:pPr>
              <w:jc w:val="center"/>
            </w:pPr>
            <w:r w:rsidRPr="00D5268A">
              <w:t>40” minimum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A7522A9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ABF7241" w14:textId="77777777" w:rsidR="00D5268A" w:rsidRPr="00D5268A" w:rsidRDefault="00D5268A" w:rsidP="00D5268A">
            <w:pPr>
              <w:jc w:val="center"/>
            </w:pPr>
            <w:r w:rsidRPr="00D5268A">
              <w:t>June 15 – August 25**, OR</w:t>
            </w:r>
          </w:p>
          <w:p w14:paraId="2D8EFEAE" w14:textId="77777777" w:rsidR="00D5268A" w:rsidRPr="00D5268A" w:rsidRDefault="00D5268A" w:rsidP="00D5268A">
            <w:pPr>
              <w:jc w:val="center"/>
            </w:pPr>
            <w:r w:rsidRPr="00D5268A">
              <w:t>June 30 – September 15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1CD3599" w14:textId="77777777" w:rsidR="00D5268A" w:rsidRPr="00D5268A" w:rsidRDefault="00D5268A" w:rsidP="00D5268A">
            <w:pPr>
              <w:jc w:val="center"/>
            </w:pPr>
            <w:r w:rsidRPr="00D5268A">
              <w:t>-16.7%</w:t>
            </w:r>
          </w:p>
          <w:p w14:paraId="188E0700" w14:textId="77777777" w:rsidR="00D5268A" w:rsidRPr="00D5268A" w:rsidRDefault="00D5268A" w:rsidP="00D5268A">
            <w:pPr>
              <w:jc w:val="center"/>
            </w:pPr>
            <w:r w:rsidRPr="00D5268A">
              <w:t>-24.4%</w:t>
            </w:r>
          </w:p>
        </w:tc>
      </w:tr>
      <w:tr w:rsidR="00D5268A" w:rsidRPr="00D5268A" w14:paraId="6920222F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2EEB09C0" w14:textId="77777777" w:rsidR="00D5268A" w:rsidRPr="00D5268A" w:rsidRDefault="00D5268A" w:rsidP="00D5268A">
            <w:pPr>
              <w:jc w:val="center"/>
            </w:pPr>
            <w:r w:rsidRPr="00D5268A">
              <w:t>41” minimum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09E1D1DC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373CA6DC" w14:textId="77777777" w:rsidR="00D5268A" w:rsidRPr="00D5268A" w:rsidRDefault="00D5268A" w:rsidP="00D5268A">
            <w:pPr>
              <w:jc w:val="center"/>
            </w:pPr>
            <w:r w:rsidRPr="00D5268A">
              <w:t>June 15 – August 31, OR</w:t>
            </w:r>
          </w:p>
          <w:p w14:paraId="2CDA19C5" w14:textId="77777777" w:rsidR="00D5268A" w:rsidRPr="00D5268A" w:rsidRDefault="00D5268A" w:rsidP="00D5268A">
            <w:pPr>
              <w:jc w:val="center"/>
            </w:pPr>
            <w:r w:rsidRPr="00D5268A">
              <w:t>June 27 – September 15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461B57DC" w14:textId="77777777" w:rsidR="00D5268A" w:rsidRPr="00D5268A" w:rsidRDefault="00D5268A" w:rsidP="00D5268A">
            <w:pPr>
              <w:jc w:val="center"/>
            </w:pPr>
            <w:r w:rsidRPr="00D5268A">
              <w:t>-17.5%</w:t>
            </w:r>
          </w:p>
          <w:p w14:paraId="22065CBA" w14:textId="77777777" w:rsidR="00D5268A" w:rsidRPr="00D5268A" w:rsidRDefault="00D5268A" w:rsidP="00D5268A">
            <w:pPr>
              <w:jc w:val="center"/>
            </w:pPr>
            <w:r w:rsidRPr="00D5268A">
              <w:t>-17.1%</w:t>
            </w:r>
          </w:p>
        </w:tc>
      </w:tr>
      <w:tr w:rsidR="00D5268A" w:rsidRPr="00D5268A" w14:paraId="4EFF7A32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</w:tcPr>
          <w:p w14:paraId="10CC6461" w14:textId="77777777" w:rsidR="00D5268A" w:rsidRPr="00D5268A" w:rsidRDefault="00D5268A" w:rsidP="00D5268A">
            <w:pPr>
              <w:jc w:val="center"/>
            </w:pPr>
            <w:r w:rsidRPr="00D5268A">
              <w:t>42” minimum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C33A805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4C185EF" w14:textId="77777777" w:rsidR="00D5268A" w:rsidRPr="00D5268A" w:rsidRDefault="00D5268A" w:rsidP="00D5268A">
            <w:pPr>
              <w:jc w:val="center"/>
            </w:pPr>
            <w:r w:rsidRPr="00D5268A">
              <w:t>June 15 – August 31, OR</w:t>
            </w:r>
          </w:p>
          <w:p w14:paraId="7F3BEB8D" w14:textId="77777777" w:rsidR="00D5268A" w:rsidRPr="00D5268A" w:rsidRDefault="00D5268A" w:rsidP="00D5268A">
            <w:pPr>
              <w:jc w:val="center"/>
            </w:pPr>
            <w:r w:rsidRPr="00D5268A">
              <w:t>June 27 – September 15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8C8763C" w14:textId="77777777" w:rsidR="00D5268A" w:rsidRPr="00D5268A" w:rsidRDefault="00D5268A" w:rsidP="00D5268A">
            <w:pPr>
              <w:jc w:val="center"/>
            </w:pPr>
            <w:r w:rsidRPr="00D5268A">
              <w:t>-20.4%</w:t>
            </w:r>
          </w:p>
          <w:p w14:paraId="7D6CB8EE" w14:textId="77777777" w:rsidR="00D5268A" w:rsidRPr="00D5268A" w:rsidRDefault="00D5268A" w:rsidP="00D5268A">
            <w:pPr>
              <w:jc w:val="center"/>
            </w:pPr>
            <w:r w:rsidRPr="00D5268A">
              <w:t>-20.1%</w:t>
            </w:r>
          </w:p>
        </w:tc>
      </w:tr>
      <w:tr w:rsidR="00D5268A" w:rsidRPr="00D5268A" w14:paraId="3586EAB3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39FFB432" w14:textId="77777777" w:rsidR="00D5268A" w:rsidRPr="00D5268A" w:rsidRDefault="00D5268A" w:rsidP="00D5268A">
            <w:pPr>
              <w:jc w:val="center"/>
            </w:pPr>
            <w:r w:rsidRPr="00D5268A">
              <w:t>43” minimum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21B0A873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113B05CB" w14:textId="77777777" w:rsidR="00D5268A" w:rsidRPr="00D5268A" w:rsidRDefault="00D5268A" w:rsidP="00D5268A">
            <w:pPr>
              <w:jc w:val="center"/>
            </w:pPr>
            <w:r w:rsidRPr="00D5268A">
              <w:t>June 15 – September 15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2059F133" w14:textId="77777777" w:rsidR="00D5268A" w:rsidRPr="00D5268A" w:rsidRDefault="00D5268A" w:rsidP="00D5268A">
            <w:pPr>
              <w:jc w:val="center"/>
            </w:pPr>
            <w:r w:rsidRPr="00D5268A">
              <w:t>-20.5%</w:t>
            </w:r>
          </w:p>
        </w:tc>
      </w:tr>
      <w:tr w:rsidR="00D5268A" w:rsidRPr="00D5268A" w14:paraId="61748FD1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</w:tcPr>
          <w:p w14:paraId="13E69F36" w14:textId="77777777" w:rsidR="00D5268A" w:rsidRPr="00D5268A" w:rsidRDefault="00D5268A" w:rsidP="00D5268A">
            <w:pPr>
              <w:jc w:val="center"/>
            </w:pPr>
            <w:r w:rsidRPr="00D5268A">
              <w:t>40” – 51” slot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176875A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B334C09" w14:textId="77777777" w:rsidR="00D5268A" w:rsidRPr="00D5268A" w:rsidRDefault="00D5268A" w:rsidP="00D5268A">
            <w:pPr>
              <w:jc w:val="center"/>
            </w:pPr>
            <w:r w:rsidRPr="00D5268A">
              <w:t>June 15 – September 15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49F89B8F" w14:textId="77777777" w:rsidR="00D5268A" w:rsidRPr="00D5268A" w:rsidRDefault="00D5268A" w:rsidP="00D5268A">
            <w:pPr>
              <w:jc w:val="center"/>
            </w:pPr>
            <w:r w:rsidRPr="00D5268A">
              <w:t>-16.4%</w:t>
            </w:r>
          </w:p>
        </w:tc>
      </w:tr>
      <w:tr w:rsidR="00D5268A" w:rsidRPr="00D5268A" w14:paraId="4D571021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4FBE4115" w14:textId="77777777" w:rsidR="00D5268A" w:rsidRPr="00D5268A" w:rsidRDefault="00D5268A" w:rsidP="00D5268A">
            <w:pPr>
              <w:jc w:val="center"/>
            </w:pPr>
            <w:r w:rsidRPr="00D5268A">
              <w:t>40” – 52” slot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50D39BA5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6106DAB0" w14:textId="77777777" w:rsidR="00D5268A" w:rsidRPr="00D5268A" w:rsidRDefault="00D5268A" w:rsidP="00D5268A">
            <w:pPr>
              <w:jc w:val="center"/>
            </w:pPr>
            <w:r w:rsidRPr="00D5268A">
              <w:t>June 15 – August 31, OR</w:t>
            </w:r>
          </w:p>
          <w:p w14:paraId="5F00724B" w14:textId="77777777" w:rsidR="00D5268A" w:rsidRPr="00D5268A" w:rsidRDefault="00D5268A" w:rsidP="00D5268A">
            <w:pPr>
              <w:jc w:val="center"/>
            </w:pPr>
            <w:r w:rsidRPr="00D5268A">
              <w:t>June 20 – September 15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2F2D97B7" w14:textId="77777777" w:rsidR="00D5268A" w:rsidRPr="00D5268A" w:rsidRDefault="00D5268A" w:rsidP="00D5268A">
            <w:pPr>
              <w:jc w:val="center"/>
            </w:pPr>
            <w:r w:rsidRPr="00D5268A">
              <w:t>-23.4%</w:t>
            </w:r>
          </w:p>
          <w:p w14:paraId="0322139D" w14:textId="77777777" w:rsidR="00D5268A" w:rsidRPr="00D5268A" w:rsidRDefault="00D5268A" w:rsidP="00D5268A">
            <w:pPr>
              <w:jc w:val="center"/>
            </w:pPr>
            <w:r w:rsidRPr="00D5268A">
              <w:t>-17.3%</w:t>
            </w:r>
          </w:p>
        </w:tc>
      </w:tr>
      <w:tr w:rsidR="00D5268A" w:rsidRPr="00D5268A" w14:paraId="5CCBDCB4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</w:tcPr>
          <w:p w14:paraId="20128E45" w14:textId="77777777" w:rsidR="00D5268A" w:rsidRPr="00D5268A" w:rsidRDefault="00D5268A" w:rsidP="00D5268A">
            <w:pPr>
              <w:jc w:val="center"/>
            </w:pPr>
            <w:r w:rsidRPr="00D5268A">
              <w:t>40” – 54” slot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02E8B41A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3452046A" w14:textId="77777777" w:rsidR="00D5268A" w:rsidRPr="00D5268A" w:rsidRDefault="00D5268A" w:rsidP="00D5268A">
            <w:pPr>
              <w:jc w:val="center"/>
            </w:pPr>
            <w:r w:rsidRPr="00D5268A">
              <w:t>June 15 – August 31 OR</w:t>
            </w:r>
          </w:p>
          <w:p w14:paraId="49802E7A" w14:textId="77777777" w:rsidR="00D5268A" w:rsidRPr="00D5268A" w:rsidRDefault="00D5268A" w:rsidP="00D5268A">
            <w:pPr>
              <w:jc w:val="center"/>
            </w:pPr>
            <w:r w:rsidRPr="00D5268A">
              <w:t>June 27 – September 15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5583D23D" w14:textId="77777777" w:rsidR="00D5268A" w:rsidRPr="00D5268A" w:rsidRDefault="00D5268A" w:rsidP="00D5268A">
            <w:pPr>
              <w:jc w:val="center"/>
            </w:pPr>
            <w:r w:rsidRPr="00D5268A">
              <w:t>-19.3%</w:t>
            </w:r>
          </w:p>
          <w:p w14:paraId="3D2558C9" w14:textId="77777777" w:rsidR="00D5268A" w:rsidRPr="00D5268A" w:rsidRDefault="00D5268A" w:rsidP="00D5268A">
            <w:pPr>
              <w:jc w:val="center"/>
            </w:pPr>
            <w:r w:rsidRPr="00D5268A">
              <w:t>-18.9%</w:t>
            </w:r>
          </w:p>
        </w:tc>
      </w:tr>
      <w:tr w:rsidR="00D5268A" w:rsidRPr="00D5268A" w14:paraId="30861F24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13DEBC63" w14:textId="77777777" w:rsidR="00D5268A" w:rsidRPr="00D5268A" w:rsidRDefault="00D5268A" w:rsidP="00D5268A">
            <w:pPr>
              <w:jc w:val="center"/>
            </w:pPr>
            <w:r w:rsidRPr="00D5268A">
              <w:t>40” – 55” slot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62EDD105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5878895A" w14:textId="77777777" w:rsidR="00D5268A" w:rsidRPr="00D5268A" w:rsidRDefault="00D5268A" w:rsidP="00D5268A">
            <w:pPr>
              <w:jc w:val="center"/>
            </w:pPr>
            <w:r w:rsidRPr="00D5268A">
              <w:t>June 15 – August 27, OR</w:t>
            </w:r>
          </w:p>
          <w:p w14:paraId="233A280D" w14:textId="77777777" w:rsidR="00D5268A" w:rsidRPr="00D5268A" w:rsidRDefault="00D5268A" w:rsidP="00D5268A">
            <w:pPr>
              <w:jc w:val="center"/>
            </w:pPr>
            <w:r w:rsidRPr="00D5268A">
              <w:t>June 30 – September 15***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091F32D9" w14:textId="77777777" w:rsidR="00D5268A" w:rsidRPr="00D5268A" w:rsidRDefault="00D5268A" w:rsidP="00D5268A">
            <w:pPr>
              <w:jc w:val="center"/>
            </w:pPr>
            <w:r w:rsidRPr="00D5268A">
              <w:t>-18.3%</w:t>
            </w:r>
          </w:p>
          <w:p w14:paraId="0CEE642F" w14:textId="77777777" w:rsidR="00D5268A" w:rsidRPr="00D5268A" w:rsidRDefault="00D5268A" w:rsidP="00D5268A">
            <w:pPr>
              <w:jc w:val="center"/>
            </w:pPr>
            <w:r w:rsidRPr="00D5268A">
              <w:t>-27.4%</w:t>
            </w:r>
          </w:p>
        </w:tc>
      </w:tr>
      <w:tr w:rsidR="00D5268A" w:rsidRPr="00D5268A" w14:paraId="2B0C95D3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</w:tcPr>
          <w:p w14:paraId="2465672B" w14:textId="77777777" w:rsidR="00D5268A" w:rsidRPr="00D5268A" w:rsidRDefault="00D5268A" w:rsidP="00D5268A">
            <w:pPr>
              <w:jc w:val="center"/>
            </w:pPr>
            <w:r w:rsidRPr="00D5268A">
              <w:t>41” – 52” slot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6133B436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1795626C" w14:textId="77777777" w:rsidR="00D5268A" w:rsidRPr="00D5268A" w:rsidRDefault="00D5268A" w:rsidP="00D5268A">
            <w:pPr>
              <w:jc w:val="center"/>
            </w:pPr>
            <w:r w:rsidRPr="00D5268A">
              <w:t>June 15 – September 15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</w:tcPr>
          <w:p w14:paraId="58ED84CD" w14:textId="77777777" w:rsidR="00D5268A" w:rsidRPr="00D5268A" w:rsidRDefault="00D5268A" w:rsidP="00D5268A">
            <w:pPr>
              <w:jc w:val="center"/>
            </w:pPr>
            <w:r w:rsidRPr="00D5268A">
              <w:t>-19.1%</w:t>
            </w:r>
          </w:p>
        </w:tc>
      </w:tr>
      <w:tr w:rsidR="00D5268A" w:rsidRPr="00D5268A" w14:paraId="0FA726B4" w14:textId="77777777" w:rsidTr="00D52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  <w:jc w:val="center"/>
        </w:trPr>
        <w:tc>
          <w:tcPr>
            <w:tcW w:w="1806" w:type="dxa"/>
            <w:tcBorders>
              <w:top w:val="single" w:sz="4" w:space="0" w:color="666666"/>
              <w:left w:val="none" w:sz="6" w:space="0" w:color="auto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1CDC81F7" w14:textId="77777777" w:rsidR="00D5268A" w:rsidRPr="00D5268A" w:rsidRDefault="00D5268A" w:rsidP="00D5268A">
            <w:pPr>
              <w:jc w:val="center"/>
            </w:pPr>
            <w:r w:rsidRPr="00D5268A">
              <w:t>42” – 54” slot</w:t>
            </w:r>
          </w:p>
        </w:tc>
        <w:tc>
          <w:tcPr>
            <w:tcW w:w="14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5272B10E" w14:textId="77777777" w:rsidR="00D5268A" w:rsidRPr="00D5268A" w:rsidRDefault="00D5268A" w:rsidP="00D5268A">
            <w:pPr>
              <w:jc w:val="center"/>
            </w:pPr>
            <w:r w:rsidRPr="00D5268A">
              <w:t>2-fish</w:t>
            </w:r>
          </w:p>
        </w:tc>
        <w:tc>
          <w:tcPr>
            <w:tcW w:w="3240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14FF3523" w14:textId="77777777" w:rsidR="00D5268A" w:rsidRPr="00D5268A" w:rsidRDefault="00D5268A" w:rsidP="00D5268A">
            <w:pPr>
              <w:jc w:val="center"/>
            </w:pPr>
            <w:r w:rsidRPr="00D5268A">
              <w:t>June 15 – September 15</w:t>
            </w:r>
          </w:p>
        </w:tc>
        <w:tc>
          <w:tcPr>
            <w:tcW w:w="242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CCCCCC"/>
          </w:tcPr>
          <w:p w14:paraId="1DA64B65" w14:textId="77777777" w:rsidR="00D5268A" w:rsidRPr="00D5268A" w:rsidRDefault="00D5268A" w:rsidP="00D5268A">
            <w:pPr>
              <w:jc w:val="center"/>
            </w:pPr>
            <w:r w:rsidRPr="00D5268A">
              <w:t>-17.8%</w:t>
            </w:r>
          </w:p>
        </w:tc>
      </w:tr>
    </w:tbl>
    <w:p w14:paraId="1A848609" w14:textId="77777777" w:rsidR="00D5268A" w:rsidRPr="00D5268A" w:rsidRDefault="00D5268A" w:rsidP="00D5268A">
      <w:r w:rsidRPr="00D5268A">
        <w:t>*Seasons implemented for RI, NY, NJ, DE would not be credited toward reduction due to lack of data for analysis.</w:t>
      </w:r>
    </w:p>
    <w:p w14:paraId="6916B50C" w14:textId="77777777" w:rsidR="00D5268A" w:rsidRPr="00D5268A" w:rsidRDefault="00D5268A" w:rsidP="00D5268A">
      <w:r w:rsidRPr="00D5268A">
        <w:t xml:space="preserve">**All options in the table, including this end date of August 25 were calculated assuming the upper bound of RI-DE increasing their vessel limit (2.5%). If the average 1.3% increase for RI-DE increasing </w:t>
      </w:r>
      <w:r w:rsidRPr="00D5268A">
        <w:lastRenderedPageBreak/>
        <w:t>their vessel limit was applied, this season end date could be August 27 with a cumulative estimated reduction of 16.0%.</w:t>
      </w:r>
    </w:p>
    <w:p w14:paraId="7325C025" w14:textId="77777777" w:rsidR="00D5268A" w:rsidRPr="00D5268A" w:rsidRDefault="00D5268A" w:rsidP="00D5268A">
      <w:r w:rsidRPr="00D5268A">
        <w:t>***All options in the table, including this start date of June 30 were calculated assuming the upper bound of RI-DE increasing their vessel limit (2.5%). If the average 1.3% increase for RI-DE increasing their vessel limit was applied, the season start date would be one day earlier on June 29 with a cumulative estimated reduction of 16.1%.</w:t>
      </w:r>
    </w:p>
    <w:p w14:paraId="5E137248" w14:textId="77777777" w:rsidR="00D5268A" w:rsidRDefault="00D5268A"/>
    <w:sectPr w:rsidR="00D52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5F8"/>
    <w:rsid w:val="007F5440"/>
    <w:rsid w:val="00831122"/>
    <w:rsid w:val="008625F8"/>
    <w:rsid w:val="00D5268A"/>
    <w:rsid w:val="00F1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1296C"/>
  <w15:chartTrackingRefBased/>
  <w15:docId w15:val="{71D01155-92E9-4C9B-9F5D-88C98D68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2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2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5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5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5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5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5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5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5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25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5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5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5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 [DEP]</dc:creator>
  <cp:keywords/>
  <dc:description/>
  <cp:lastModifiedBy>Brust, Jeffrey [DEP]</cp:lastModifiedBy>
  <cp:revision>1</cp:revision>
  <dcterms:created xsi:type="dcterms:W3CDTF">2024-11-06T15:14:00Z</dcterms:created>
  <dcterms:modified xsi:type="dcterms:W3CDTF">2024-11-06T16:15:00Z</dcterms:modified>
</cp:coreProperties>
</file>