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4EE7B" w14:textId="77777777" w:rsidR="00FD1DBD" w:rsidRDefault="00000000">
      <w:pPr>
        <w:spacing w:before="77" w:line="480" w:lineRule="auto"/>
        <w:ind w:left="100" w:right="5415"/>
        <w:rPr>
          <w:b/>
          <w:sz w:val="24"/>
        </w:rPr>
      </w:pPr>
      <w:r>
        <w:rPr>
          <w:b/>
          <w:spacing w:val="-2"/>
          <w:sz w:val="24"/>
        </w:rPr>
        <w:t xml:space="preserve">ENVIRONMENTAL PROTECTION </w:t>
      </w:r>
      <w:r>
        <w:rPr>
          <w:b/>
          <w:sz w:val="24"/>
        </w:rPr>
        <w:t>FISH AND WILDLIFE</w:t>
      </w:r>
    </w:p>
    <w:p w14:paraId="171DA041" w14:textId="77777777" w:rsidR="00FD1DBD" w:rsidRDefault="00FD1DBD">
      <w:pPr>
        <w:pStyle w:val="BodyText"/>
        <w:rPr>
          <w:b/>
          <w:sz w:val="26"/>
        </w:rPr>
      </w:pPr>
    </w:p>
    <w:p w14:paraId="6699A099" w14:textId="77777777" w:rsidR="00FD1DBD" w:rsidRDefault="00FD1DBD">
      <w:pPr>
        <w:pStyle w:val="BodyText"/>
        <w:spacing w:before="5"/>
        <w:rPr>
          <w:b/>
          <w:sz w:val="22"/>
        </w:rPr>
      </w:pPr>
    </w:p>
    <w:p w14:paraId="2EB2F642" w14:textId="77777777" w:rsidR="00FD1DBD" w:rsidRDefault="00000000">
      <w:pPr>
        <w:spacing w:line="477" w:lineRule="auto"/>
        <w:ind w:left="100" w:right="5415"/>
        <w:rPr>
          <w:b/>
          <w:sz w:val="24"/>
        </w:rPr>
      </w:pPr>
      <w:r>
        <w:rPr>
          <w:b/>
          <w:sz w:val="24"/>
        </w:rPr>
        <w:t>Notice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Administrative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Change Marine Fisheries</w:t>
      </w:r>
    </w:p>
    <w:p w14:paraId="229E124D" w14:textId="307A7010" w:rsidR="00FD1DBD" w:rsidRDefault="00000000">
      <w:pPr>
        <w:spacing w:before="2"/>
        <w:ind w:left="100"/>
        <w:rPr>
          <w:b/>
          <w:sz w:val="24"/>
        </w:rPr>
      </w:pPr>
      <w:r>
        <w:rPr>
          <w:b/>
          <w:sz w:val="24"/>
        </w:rPr>
        <w:t>Modification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Atlantic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Striped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Bass</w:t>
      </w:r>
      <w:r>
        <w:rPr>
          <w:b/>
          <w:spacing w:val="-3"/>
          <w:sz w:val="24"/>
        </w:rPr>
        <w:t xml:space="preserve"> </w:t>
      </w:r>
      <w:r w:rsidR="00B84909">
        <w:rPr>
          <w:b/>
          <w:spacing w:val="-3"/>
          <w:sz w:val="24"/>
        </w:rPr>
        <w:t xml:space="preserve">Fillet </w:t>
      </w:r>
      <w:r w:rsidR="00DF44BE">
        <w:rPr>
          <w:b/>
          <w:sz w:val="24"/>
        </w:rPr>
        <w:t>Possession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Limits</w:t>
      </w:r>
      <w:r w:rsidR="006A0AB6">
        <w:rPr>
          <w:b/>
          <w:spacing w:val="-2"/>
          <w:sz w:val="24"/>
        </w:rPr>
        <w:t xml:space="preserve"> and SBBP Quota</w:t>
      </w:r>
    </w:p>
    <w:p w14:paraId="2530E306" w14:textId="77777777" w:rsidR="00FD1DBD" w:rsidRDefault="00FD1DBD">
      <w:pPr>
        <w:pStyle w:val="BodyText"/>
        <w:spacing w:before="10"/>
        <w:rPr>
          <w:b/>
          <w:sz w:val="23"/>
        </w:rPr>
      </w:pPr>
    </w:p>
    <w:p w14:paraId="5F8228DB" w14:textId="01CB2B79" w:rsidR="00FD1DBD" w:rsidRDefault="00000000">
      <w:pPr>
        <w:ind w:left="100"/>
        <w:rPr>
          <w:b/>
          <w:sz w:val="24"/>
        </w:rPr>
      </w:pPr>
      <w:r>
        <w:rPr>
          <w:b/>
          <w:sz w:val="24"/>
        </w:rPr>
        <w:t>N.J.A.C.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7:25-</w:t>
      </w:r>
      <w:r>
        <w:rPr>
          <w:b/>
          <w:spacing w:val="-4"/>
          <w:sz w:val="24"/>
        </w:rPr>
        <w:t>18.1</w:t>
      </w:r>
      <w:r w:rsidR="006A0AB6">
        <w:rPr>
          <w:b/>
          <w:spacing w:val="-4"/>
          <w:sz w:val="24"/>
        </w:rPr>
        <w:t xml:space="preserve"> &amp; 18.13</w:t>
      </w:r>
    </w:p>
    <w:p w14:paraId="1F6644EF" w14:textId="77777777" w:rsidR="00FD1DBD" w:rsidRDefault="00FD1DBD">
      <w:pPr>
        <w:pStyle w:val="BodyText"/>
        <w:rPr>
          <w:b/>
          <w:sz w:val="26"/>
        </w:rPr>
      </w:pPr>
    </w:p>
    <w:p w14:paraId="316F4377" w14:textId="77777777" w:rsidR="00FD1DBD" w:rsidRDefault="00FD1DBD">
      <w:pPr>
        <w:pStyle w:val="BodyText"/>
        <w:rPr>
          <w:b/>
          <w:sz w:val="26"/>
        </w:rPr>
      </w:pPr>
    </w:p>
    <w:p w14:paraId="147C0061" w14:textId="77777777" w:rsidR="00FD1DBD" w:rsidRDefault="00FD1DBD">
      <w:pPr>
        <w:pStyle w:val="BodyText"/>
        <w:spacing w:before="7"/>
        <w:rPr>
          <w:b/>
          <w:sz w:val="20"/>
        </w:rPr>
      </w:pPr>
    </w:p>
    <w:p w14:paraId="74273C09" w14:textId="4A52661B" w:rsidR="00FD1DBD" w:rsidRDefault="00000000">
      <w:pPr>
        <w:pStyle w:val="BodyText"/>
        <w:spacing w:line="480" w:lineRule="auto"/>
        <w:ind w:left="100" w:right="149" w:firstLine="720"/>
      </w:pPr>
      <w:r>
        <w:rPr>
          <w:b/>
        </w:rPr>
        <w:t xml:space="preserve">Take Notice </w:t>
      </w:r>
      <w:r>
        <w:t>that, pursuant to N.J.A.C. 7:25-18.1(p), the Commissioner of the Department of Environmental Protection (Commissioner),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approval of</w:t>
      </w:r>
      <w:r>
        <w:rPr>
          <w:spacing w:val="-2"/>
        </w:rPr>
        <w:t xml:space="preserve"> </w:t>
      </w:r>
      <w:r>
        <w:t>the New</w:t>
      </w:r>
      <w:r>
        <w:rPr>
          <w:spacing w:val="-15"/>
        </w:rPr>
        <w:t xml:space="preserve"> </w:t>
      </w:r>
      <w:r>
        <w:t>Jersey Marine Fisheries</w:t>
      </w:r>
      <w:r>
        <w:rPr>
          <w:spacing w:val="-7"/>
        </w:rPr>
        <w:t xml:space="preserve"> </w:t>
      </w:r>
      <w:r>
        <w:t>Council (Council)</w:t>
      </w:r>
      <w:r>
        <w:rPr>
          <w:spacing w:val="-3"/>
        </w:rPr>
        <w:t xml:space="preserve"> </w:t>
      </w:r>
      <w:r>
        <w:t>at its</w:t>
      </w:r>
      <w:r>
        <w:rPr>
          <w:spacing w:val="-9"/>
        </w:rPr>
        <w:t xml:space="preserve"> </w:t>
      </w:r>
      <w:r w:rsidR="00DF44BE">
        <w:t>March 7, 2024</w:t>
      </w:r>
      <w:r>
        <w:t>,</w:t>
      </w:r>
      <w:r>
        <w:rPr>
          <w:spacing w:val="-3"/>
        </w:rPr>
        <w:t xml:space="preserve"> </w:t>
      </w:r>
      <w:r>
        <w:t>meeting,</w:t>
      </w:r>
      <w:r>
        <w:rPr>
          <w:spacing w:val="-3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modified</w:t>
      </w:r>
      <w:r>
        <w:rPr>
          <w:spacing w:val="-2"/>
        </w:rPr>
        <w:t xml:space="preserve"> </w:t>
      </w:r>
      <w:r>
        <w:t xml:space="preserve">the recreational </w:t>
      </w:r>
      <w:r w:rsidR="00DF44BE">
        <w:t xml:space="preserve">fillet </w:t>
      </w:r>
      <w:r w:rsidR="00D70F6A">
        <w:t>possession</w:t>
      </w:r>
      <w:r>
        <w:t xml:space="preserve"> limits</w:t>
      </w:r>
      <w:r w:rsidR="005409AC">
        <w:t xml:space="preserve"> and</w:t>
      </w:r>
      <w:r w:rsidR="00D70F6A">
        <w:t xml:space="preserve"> </w:t>
      </w:r>
      <w:r w:rsidR="00D70F6A">
        <w:t>the Striped Bass Bonus Program</w:t>
      </w:r>
      <w:r w:rsidR="005409AC">
        <w:t xml:space="preserve"> (SBBP)</w:t>
      </w:r>
      <w:r w:rsidR="00D70F6A">
        <w:t xml:space="preserve"> quota</w:t>
      </w:r>
      <w:r>
        <w:t xml:space="preserve"> for Atlantic striped bass. The actions for Atlantic striped bass have been</w:t>
      </w:r>
      <w:r>
        <w:rPr>
          <w:spacing w:val="-3"/>
        </w:rPr>
        <w:t xml:space="preserve"> </w:t>
      </w:r>
      <w:r>
        <w:t>taken</w:t>
      </w:r>
      <w:r>
        <w:rPr>
          <w:spacing w:val="-3"/>
        </w:rPr>
        <w:t xml:space="preserve"> </w:t>
      </w:r>
      <w:r>
        <w:t>to comply with</w:t>
      </w:r>
      <w:r>
        <w:rPr>
          <w:spacing w:val="-2"/>
        </w:rPr>
        <w:t xml:space="preserve"> </w:t>
      </w:r>
      <w:r>
        <w:t>the Atlantic States Marine Fisheries Commission’s (ASMFC) management plan, and for the optimal utilization of available Atlantic striped bass quota.</w:t>
      </w:r>
    </w:p>
    <w:p w14:paraId="43897138" w14:textId="17000AD7" w:rsidR="00FD1DBD" w:rsidRDefault="00000000" w:rsidP="00B84909">
      <w:pPr>
        <w:pStyle w:val="BodyText"/>
        <w:spacing w:line="480" w:lineRule="auto"/>
        <w:ind w:left="100" w:right="122" w:firstLine="720"/>
      </w:pPr>
      <w:r>
        <w:t xml:space="preserve">On </w:t>
      </w:r>
      <w:r w:rsidR="00C56124">
        <w:t>January 2</w:t>
      </w:r>
      <w:r w:rsidR="00997D8A">
        <w:t>4</w:t>
      </w:r>
      <w:r>
        <w:t xml:space="preserve">, 2023, </w:t>
      </w:r>
      <w:r w:rsidR="00C56124">
        <w:t>the ASMFC Stiped Bass</w:t>
      </w:r>
      <w:r w:rsidR="00997D8A">
        <w:t xml:space="preserve"> Management</w:t>
      </w:r>
      <w:r w:rsidR="00C56124">
        <w:t xml:space="preserve"> Board</w:t>
      </w:r>
      <w:r w:rsidR="00D70F6A">
        <w:t xml:space="preserve"> (Board)</w:t>
      </w:r>
      <w:r w:rsidR="00C56124">
        <w:t xml:space="preserve"> approved minimum requirements for recreational at-sea filleting to address concerns about recreational filleting allowances and complian</w:t>
      </w:r>
      <w:r w:rsidR="00997D8A">
        <w:t>ce</w:t>
      </w:r>
      <w:r w:rsidR="00C56124">
        <w:t xml:space="preserve"> with recreational size limits.  The </w:t>
      </w:r>
      <w:r w:rsidR="00D70F6A">
        <w:t>measures require</w:t>
      </w:r>
      <w:r w:rsidR="00C56124">
        <w:t xml:space="preserve"> racks to be retained and possession to be limited to no more than two fillets per legal fish</w:t>
      </w:r>
      <w:r w:rsidR="00D70F6A">
        <w:t>.  At the same meeting, the Board</w:t>
      </w:r>
      <w:r w:rsidR="008F2D03">
        <w:t xml:space="preserve"> also</w:t>
      </w:r>
      <w:r w:rsidR="00D70F6A">
        <w:t xml:space="preserve"> approved </w:t>
      </w:r>
      <w:r w:rsidR="00EC16B7">
        <w:t>a 7 percent reduction in the coastwide commercial striped bass quota to achieve the</w:t>
      </w:r>
      <w:r w:rsidR="006F015D">
        <w:t xml:space="preserve"> fishing mortality target in 2024</w:t>
      </w:r>
      <w:r w:rsidR="00B95FC8">
        <w:t xml:space="preserve"> and to support rebuilding spawning stock biomass by 2029</w:t>
      </w:r>
      <w:r w:rsidR="00EC16B7">
        <w:t xml:space="preserve">.  Historically, New Jersey </w:t>
      </w:r>
      <w:r w:rsidR="00135205">
        <w:t xml:space="preserve">reallocates </w:t>
      </w:r>
      <w:r w:rsidR="005409AC">
        <w:t>its</w:t>
      </w:r>
      <w:r w:rsidR="00135205">
        <w:t xml:space="preserve"> commercial quota to the SBBP through conservation equivalency. </w:t>
      </w:r>
      <w:r w:rsidR="00EC16B7">
        <w:t xml:space="preserve">The Board approved </w:t>
      </w:r>
      <w:r w:rsidR="00D70F6A">
        <w:t xml:space="preserve">New Jersey’s conservation equivalency </w:t>
      </w:r>
      <w:r w:rsidR="00D70F6A">
        <w:lastRenderedPageBreak/>
        <w:t xml:space="preserve">proposal to allow the commercial </w:t>
      </w:r>
      <w:r w:rsidR="008F2D03">
        <w:t xml:space="preserve">striped bass </w:t>
      </w:r>
      <w:r w:rsidR="00D70F6A">
        <w:t>quota to be transferred to the bonus program</w:t>
      </w:r>
      <w:r w:rsidR="00EC16B7">
        <w:t>, including a 7 percent reduction in the striped bass Bonus Program quota</w:t>
      </w:r>
      <w:r w:rsidR="00135205">
        <w:t>.</w:t>
      </w:r>
      <w:r w:rsidR="00EC16B7">
        <w:t xml:space="preserve"> </w:t>
      </w:r>
      <w:r>
        <w:rPr>
          <w:spacing w:val="-2"/>
        </w:rPr>
        <w:t>(</w:t>
      </w:r>
      <w:r w:rsidR="00997D8A" w:rsidRPr="00997D8A">
        <w:rPr>
          <w:spacing w:val="-2"/>
        </w:rPr>
        <w:t>https://asmfc.org/uploads/file/65c54740AtlStripedBass_AddendumII_Am7_Jan2024.pdf</w:t>
      </w:r>
      <w:r>
        <w:rPr>
          <w:spacing w:val="-2"/>
        </w:rPr>
        <w:t>).</w:t>
      </w:r>
      <w:r w:rsidR="00D70F6A">
        <w:rPr>
          <w:spacing w:val="-2"/>
        </w:rPr>
        <w:t xml:space="preserve"> </w:t>
      </w:r>
    </w:p>
    <w:p w14:paraId="0AC958AC" w14:textId="16A5A899" w:rsidR="00FD1DBD" w:rsidRDefault="00000000">
      <w:pPr>
        <w:pStyle w:val="BodyText"/>
        <w:spacing w:line="482" w:lineRule="auto"/>
        <w:ind w:left="100" w:right="149" w:firstLine="720"/>
      </w:pPr>
      <w:r>
        <w:t>In accordance with</w:t>
      </w:r>
      <w:r>
        <w:rPr>
          <w:spacing w:val="-7"/>
        </w:rPr>
        <w:t xml:space="preserve"> </w:t>
      </w:r>
      <w:r>
        <w:t xml:space="preserve">the ASMFC’s actions, the Council approved changes to recreational Atlantic striped bass </w:t>
      </w:r>
      <w:r w:rsidR="00B84909">
        <w:t>fillet possession</w:t>
      </w:r>
      <w:r>
        <w:t xml:space="preserve"> limits</w:t>
      </w:r>
      <w:r w:rsidR="005409AC">
        <w:t xml:space="preserve"> and the SBBP quota</w:t>
      </w:r>
      <w:r>
        <w:t xml:space="preserve"> consistent with</w:t>
      </w:r>
      <w:r>
        <w:rPr>
          <w:spacing w:val="-1"/>
        </w:rPr>
        <w:t xml:space="preserve"> </w:t>
      </w:r>
      <w:r>
        <w:t>the ASMFC’s Atlantic Striped Bass Interstate Fishery Management Plan.</w:t>
      </w:r>
      <w:r>
        <w:rPr>
          <w:spacing w:val="40"/>
        </w:rPr>
        <w:t xml:space="preserve"> </w:t>
      </w:r>
      <w:r>
        <w:t>The Council approved</w:t>
      </w:r>
      <w:r w:rsidR="00B84909">
        <w:t xml:space="preserve"> the possession to be no more than two per legal fish possessed</w:t>
      </w:r>
      <w:r>
        <w:t xml:space="preserve"> for Atlantic striped bass and striped bass hybrids.</w:t>
      </w:r>
      <w:r w:rsidR="005409AC">
        <w:t xml:space="preserve"> The Council also approved a 7 percent SBBP reduction from </w:t>
      </w:r>
      <w:r w:rsidR="005409AC" w:rsidRPr="00135205">
        <w:rPr>
          <w:rStyle w:val="ssparacontent"/>
          <w:color w:val="212121"/>
          <w:bdr w:val="none" w:sz="0" w:space="0" w:color="auto" w:frame="1"/>
          <w:shd w:val="clear" w:color="auto" w:fill="FFFFFF"/>
        </w:rPr>
        <w:t>215,912</w:t>
      </w:r>
      <w:r w:rsidR="005409AC">
        <w:t xml:space="preserve"> to </w:t>
      </w:r>
      <w:r w:rsidR="005409AC" w:rsidRPr="005409AC">
        <w:rPr>
          <w:rStyle w:val="ssparacontent"/>
          <w:color w:val="212121"/>
          <w:bdr w:val="none" w:sz="0" w:space="0" w:color="auto" w:frame="1"/>
          <w:shd w:val="clear" w:color="auto" w:fill="FFFFFF"/>
        </w:rPr>
        <w:t>200,798</w:t>
      </w:r>
      <w:r w:rsidR="005409AC">
        <w:rPr>
          <w:rStyle w:val="ssparacontent"/>
          <w:color w:val="212121"/>
          <w:bdr w:val="none" w:sz="0" w:space="0" w:color="auto" w:frame="1"/>
          <w:shd w:val="clear" w:color="auto" w:fill="FFFFFF"/>
        </w:rPr>
        <w:t xml:space="preserve"> pounds.</w:t>
      </w:r>
    </w:p>
    <w:p w14:paraId="695B8477" w14:textId="77777777" w:rsidR="00FD1DBD" w:rsidRDefault="00000000">
      <w:pPr>
        <w:pStyle w:val="BodyText"/>
        <w:spacing w:line="477" w:lineRule="auto"/>
        <w:ind w:left="100" w:right="209" w:firstLine="720"/>
      </w:pPr>
      <w:r>
        <w:t>These changes</w:t>
      </w:r>
      <w:r>
        <w:rPr>
          <w:spacing w:val="-5"/>
        </w:rPr>
        <w:t xml:space="preserve"> </w:t>
      </w:r>
      <w:r>
        <w:t>will be reflected</w:t>
      </w:r>
      <w:r>
        <w:rPr>
          <w:spacing w:val="-1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Fish</w:t>
      </w:r>
      <w:r>
        <w:rPr>
          <w:spacing w:val="-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Wildlife rules</w:t>
      </w:r>
      <w:r>
        <w:rPr>
          <w:spacing w:val="-5"/>
        </w:rPr>
        <w:t xml:space="preserve"> </w:t>
      </w:r>
      <w:r>
        <w:t>at N.J.A.C.</w:t>
      </w:r>
      <w:r>
        <w:rPr>
          <w:spacing w:val="-1"/>
        </w:rPr>
        <w:t xml:space="preserve"> </w:t>
      </w:r>
      <w:r>
        <w:t>7:25-18.1(c). As required in N.J.A.C. 7:25-18.1(p), changes to N.J.A.C. 7:25-18.1 will be published in the New</w:t>
      </w:r>
      <w:r>
        <w:rPr>
          <w:spacing w:val="-1"/>
        </w:rPr>
        <w:t xml:space="preserve"> </w:t>
      </w:r>
      <w:r>
        <w:t>Jersey Register, the New</w:t>
      </w:r>
      <w:r>
        <w:rPr>
          <w:spacing w:val="-13"/>
        </w:rPr>
        <w:t xml:space="preserve"> </w:t>
      </w:r>
      <w:r>
        <w:t>Jersey Fish and Wildlife Marine Digest,</w:t>
      </w:r>
      <w:r>
        <w:rPr>
          <w:spacing w:val="-10"/>
        </w:rPr>
        <w:t xml:space="preserve"> </w:t>
      </w:r>
      <w:r>
        <w:t>and on the New</w:t>
      </w:r>
      <w:r>
        <w:rPr>
          <w:spacing w:val="-13"/>
        </w:rPr>
        <w:t xml:space="preserve"> </w:t>
      </w:r>
      <w:r>
        <w:t>Jersey Fish and Wildlife website.</w:t>
      </w:r>
    </w:p>
    <w:p w14:paraId="76F5BC18" w14:textId="77777777" w:rsidR="00FD1DBD" w:rsidRDefault="00FD1DBD">
      <w:pPr>
        <w:pStyle w:val="BodyText"/>
        <w:rPr>
          <w:sz w:val="26"/>
        </w:rPr>
      </w:pPr>
    </w:p>
    <w:p w14:paraId="4C3DD004" w14:textId="77777777" w:rsidR="00FD1DBD" w:rsidRDefault="00FD1DBD">
      <w:pPr>
        <w:pStyle w:val="BodyText"/>
        <w:spacing w:before="10"/>
        <w:rPr>
          <w:sz w:val="21"/>
        </w:rPr>
      </w:pPr>
    </w:p>
    <w:p w14:paraId="7A62077C" w14:textId="77777777" w:rsidR="00FD1DBD" w:rsidRDefault="00000000">
      <w:pPr>
        <w:pStyle w:val="BodyText"/>
        <w:spacing w:before="1" w:line="477" w:lineRule="auto"/>
        <w:ind w:left="100"/>
      </w:pPr>
      <w:r>
        <w:rPr>
          <w:b/>
        </w:rPr>
        <w:t>Full text</w:t>
      </w:r>
      <w:r>
        <w:rPr>
          <w:b/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changed</w:t>
      </w:r>
      <w:r>
        <w:rPr>
          <w:spacing w:val="-2"/>
        </w:rPr>
        <w:t xml:space="preserve"> </w:t>
      </w:r>
      <w:r>
        <w:t>rule follows</w:t>
      </w:r>
      <w:r>
        <w:rPr>
          <w:spacing w:val="-6"/>
        </w:rPr>
        <w:t xml:space="preserve"> </w:t>
      </w:r>
      <w:r>
        <w:t>(additions</w:t>
      </w:r>
      <w:r>
        <w:rPr>
          <w:spacing w:val="-6"/>
        </w:rPr>
        <w:t xml:space="preserve"> </w:t>
      </w:r>
      <w:r>
        <w:t>indicated</w:t>
      </w:r>
      <w:r>
        <w:rPr>
          <w:spacing w:val="-1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 xml:space="preserve">boldface </w:t>
      </w:r>
      <w:r>
        <w:rPr>
          <w:b/>
        </w:rPr>
        <w:t>thus</w:t>
      </w:r>
      <w:r>
        <w:t>,</w:t>
      </w:r>
      <w:r>
        <w:rPr>
          <w:spacing w:val="-2"/>
        </w:rPr>
        <w:t xml:space="preserve"> </w:t>
      </w:r>
      <w:r>
        <w:t>deletions</w:t>
      </w:r>
      <w:r>
        <w:rPr>
          <w:spacing w:val="-6"/>
        </w:rPr>
        <w:t xml:space="preserve"> </w:t>
      </w:r>
      <w:r>
        <w:t>indicated</w:t>
      </w:r>
      <w:r>
        <w:rPr>
          <w:spacing w:val="-2"/>
        </w:rPr>
        <w:t xml:space="preserve"> </w:t>
      </w:r>
      <w:r>
        <w:t>in brackets [thus]):</w:t>
      </w:r>
    </w:p>
    <w:p w14:paraId="1DC61EAE" w14:textId="77777777" w:rsidR="00FD1DBD" w:rsidRDefault="00FD1DBD">
      <w:pPr>
        <w:pStyle w:val="BodyText"/>
        <w:rPr>
          <w:sz w:val="26"/>
        </w:rPr>
      </w:pPr>
    </w:p>
    <w:p w14:paraId="5493ABC9" w14:textId="77777777" w:rsidR="00FD1DBD" w:rsidRDefault="00FD1DBD">
      <w:pPr>
        <w:pStyle w:val="BodyText"/>
        <w:rPr>
          <w:sz w:val="22"/>
        </w:rPr>
      </w:pPr>
    </w:p>
    <w:p w14:paraId="40322F29" w14:textId="77777777" w:rsidR="00FD1DBD" w:rsidRDefault="00000000">
      <w:pPr>
        <w:pStyle w:val="BodyText"/>
        <w:ind w:left="100"/>
      </w:pPr>
      <w:r>
        <w:t>7:25-18.1 Size, season, and possession</w:t>
      </w:r>
      <w:r>
        <w:rPr>
          <w:spacing w:val="2"/>
        </w:rPr>
        <w:t xml:space="preserve"> </w:t>
      </w:r>
      <w:r>
        <w:rPr>
          <w:spacing w:val="-2"/>
        </w:rPr>
        <w:t>limits</w:t>
      </w:r>
    </w:p>
    <w:p w14:paraId="60481C5F" w14:textId="77777777" w:rsidR="00FD1DBD" w:rsidRDefault="00FD1DBD">
      <w:pPr>
        <w:pStyle w:val="BodyText"/>
        <w:rPr>
          <w:sz w:val="26"/>
        </w:rPr>
      </w:pPr>
    </w:p>
    <w:p w14:paraId="4975589B" w14:textId="77777777" w:rsidR="00FD1DBD" w:rsidRDefault="00FD1DBD">
      <w:pPr>
        <w:pStyle w:val="BodyText"/>
        <w:rPr>
          <w:sz w:val="26"/>
        </w:rPr>
      </w:pPr>
    </w:p>
    <w:p w14:paraId="35D501F5" w14:textId="77777777" w:rsidR="00FD1DBD" w:rsidRDefault="00FD1DBD">
      <w:pPr>
        <w:pStyle w:val="BodyText"/>
        <w:spacing w:before="6"/>
        <w:rPr>
          <w:sz w:val="20"/>
        </w:rPr>
      </w:pPr>
    </w:p>
    <w:p w14:paraId="47B8F111" w14:textId="77777777" w:rsidR="00FD1DBD" w:rsidRDefault="00000000">
      <w:pPr>
        <w:pStyle w:val="BodyText"/>
        <w:spacing w:before="1"/>
        <w:ind w:left="100"/>
      </w:pPr>
      <w:r>
        <w:t>(a) – (e) (No</w:t>
      </w:r>
      <w:r>
        <w:rPr>
          <w:spacing w:val="1"/>
        </w:rPr>
        <w:t xml:space="preserve"> </w:t>
      </w:r>
      <w:r>
        <w:rPr>
          <w:spacing w:val="-2"/>
        </w:rPr>
        <w:t>change.)</w:t>
      </w:r>
    </w:p>
    <w:p w14:paraId="1D04E395" w14:textId="77777777" w:rsidR="00FD1DBD" w:rsidRDefault="00FD1DBD">
      <w:pPr>
        <w:pStyle w:val="BodyText"/>
        <w:rPr>
          <w:sz w:val="26"/>
        </w:rPr>
      </w:pPr>
    </w:p>
    <w:p w14:paraId="5F9B8CC4" w14:textId="77777777" w:rsidR="00FD1DBD" w:rsidRDefault="00FD1DBD">
      <w:pPr>
        <w:pStyle w:val="BodyText"/>
        <w:rPr>
          <w:sz w:val="26"/>
        </w:rPr>
      </w:pPr>
    </w:p>
    <w:p w14:paraId="6D741989" w14:textId="77777777" w:rsidR="00FD1DBD" w:rsidRPr="0068692E" w:rsidRDefault="00000000">
      <w:pPr>
        <w:pStyle w:val="ListParagraph"/>
        <w:numPr>
          <w:ilvl w:val="0"/>
          <w:numId w:val="1"/>
        </w:numPr>
        <w:tabs>
          <w:tab w:val="left" w:pos="399"/>
        </w:tabs>
        <w:spacing w:before="227"/>
        <w:ind w:left="399" w:hanging="299"/>
        <w:rPr>
          <w:sz w:val="24"/>
        </w:rPr>
      </w:pPr>
      <w:r>
        <w:rPr>
          <w:sz w:val="24"/>
        </w:rPr>
        <w:t>Special</w:t>
      </w:r>
      <w:r>
        <w:rPr>
          <w:spacing w:val="1"/>
          <w:sz w:val="24"/>
        </w:rPr>
        <w:t xml:space="preserve"> </w:t>
      </w:r>
      <w:r>
        <w:rPr>
          <w:sz w:val="24"/>
        </w:rPr>
        <w:t>provisions</w:t>
      </w:r>
      <w:r>
        <w:rPr>
          <w:spacing w:val="-5"/>
          <w:sz w:val="24"/>
        </w:rPr>
        <w:t xml:space="preserve"> </w:t>
      </w:r>
      <w:r>
        <w:rPr>
          <w:sz w:val="24"/>
        </w:rPr>
        <w:t>applicable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Special</w:t>
      </w:r>
      <w:r>
        <w:rPr>
          <w:spacing w:val="1"/>
          <w:sz w:val="24"/>
        </w:rPr>
        <w:t xml:space="preserve"> </w:t>
      </w:r>
      <w:r>
        <w:rPr>
          <w:sz w:val="24"/>
        </w:rPr>
        <w:t>Fillet</w:t>
      </w:r>
      <w:r>
        <w:rPr>
          <w:spacing w:val="2"/>
          <w:sz w:val="24"/>
        </w:rPr>
        <w:t xml:space="preserve"> </w:t>
      </w:r>
      <w:r>
        <w:rPr>
          <w:sz w:val="24"/>
        </w:rPr>
        <w:t>Permit</w:t>
      </w:r>
      <w:r>
        <w:rPr>
          <w:spacing w:val="3"/>
          <w:sz w:val="24"/>
        </w:rPr>
        <w:t xml:space="preserve"> </w:t>
      </w:r>
      <w:r>
        <w:rPr>
          <w:sz w:val="24"/>
        </w:rPr>
        <w:t>are</w:t>
      </w:r>
      <w:r>
        <w:rPr>
          <w:spacing w:val="2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follows:</w:t>
      </w:r>
    </w:p>
    <w:p w14:paraId="0CDF653F" w14:textId="77777777" w:rsidR="0068692E" w:rsidRDefault="0068692E" w:rsidP="0068692E">
      <w:pPr>
        <w:tabs>
          <w:tab w:val="left" w:pos="399"/>
        </w:tabs>
        <w:spacing w:before="227"/>
        <w:ind w:left="100"/>
        <w:rPr>
          <w:sz w:val="24"/>
        </w:rPr>
      </w:pPr>
    </w:p>
    <w:p w14:paraId="3446DAF1" w14:textId="77777777" w:rsidR="0068692E" w:rsidRPr="0068692E" w:rsidRDefault="0068692E" w:rsidP="0068692E">
      <w:pPr>
        <w:tabs>
          <w:tab w:val="left" w:pos="399"/>
        </w:tabs>
        <w:spacing w:before="227"/>
        <w:ind w:left="100"/>
        <w:rPr>
          <w:sz w:val="24"/>
        </w:rPr>
      </w:pPr>
    </w:p>
    <w:p w14:paraId="3C38031A" w14:textId="77777777" w:rsidR="00FD1DBD" w:rsidRDefault="00000000">
      <w:pPr>
        <w:pStyle w:val="ListParagraph"/>
        <w:numPr>
          <w:ilvl w:val="1"/>
          <w:numId w:val="1"/>
        </w:numPr>
        <w:tabs>
          <w:tab w:val="left" w:pos="340"/>
        </w:tabs>
        <w:spacing w:before="77"/>
        <w:ind w:left="340" w:hanging="240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2.</w:t>
      </w:r>
      <w:r>
        <w:rPr>
          <w:spacing w:val="-1"/>
          <w:sz w:val="24"/>
        </w:rPr>
        <w:t xml:space="preserve"> </w:t>
      </w:r>
      <w:r>
        <w:rPr>
          <w:sz w:val="24"/>
        </w:rPr>
        <w:t>(No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change.)</w:t>
      </w:r>
    </w:p>
    <w:p w14:paraId="4BDBC8B9" w14:textId="77777777" w:rsidR="00FD1DBD" w:rsidRDefault="00FD1DBD">
      <w:pPr>
        <w:pStyle w:val="BodyText"/>
        <w:rPr>
          <w:sz w:val="26"/>
        </w:rPr>
      </w:pPr>
    </w:p>
    <w:p w14:paraId="49B03799" w14:textId="77777777" w:rsidR="00FD1DBD" w:rsidRDefault="00FD1DBD">
      <w:pPr>
        <w:pStyle w:val="BodyText"/>
        <w:rPr>
          <w:sz w:val="26"/>
        </w:rPr>
      </w:pPr>
    </w:p>
    <w:p w14:paraId="0851D2FC" w14:textId="77777777" w:rsidR="00FD1DBD" w:rsidRDefault="00000000">
      <w:pPr>
        <w:pStyle w:val="BodyText"/>
        <w:spacing w:before="226"/>
        <w:ind w:left="100"/>
      </w:pPr>
      <w:r>
        <w:t>3.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Special</w:t>
      </w:r>
      <w:r>
        <w:rPr>
          <w:spacing w:val="2"/>
        </w:rPr>
        <w:t xml:space="preserve"> </w:t>
      </w:r>
      <w:r>
        <w:t>Fillet</w:t>
      </w:r>
      <w:r>
        <w:rPr>
          <w:spacing w:val="2"/>
        </w:rPr>
        <w:t xml:space="preserve"> </w:t>
      </w:r>
      <w:r>
        <w:t>Permit</w:t>
      </w:r>
      <w:r>
        <w:rPr>
          <w:spacing w:val="2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subject</w:t>
      </w:r>
      <w:r>
        <w:rPr>
          <w:spacing w:val="-8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rPr>
          <w:spacing w:val="-2"/>
        </w:rPr>
        <w:t>conditions:</w:t>
      </w:r>
    </w:p>
    <w:p w14:paraId="4617BE53" w14:textId="77777777" w:rsidR="00FD1DBD" w:rsidRDefault="00FD1DBD">
      <w:pPr>
        <w:pStyle w:val="BodyText"/>
        <w:rPr>
          <w:sz w:val="26"/>
        </w:rPr>
      </w:pPr>
    </w:p>
    <w:p w14:paraId="17ED5983" w14:textId="77777777" w:rsidR="00FD1DBD" w:rsidRDefault="00FD1DBD">
      <w:pPr>
        <w:pStyle w:val="BodyText"/>
        <w:rPr>
          <w:sz w:val="26"/>
        </w:rPr>
      </w:pPr>
    </w:p>
    <w:p w14:paraId="078FA486" w14:textId="77777777" w:rsidR="00FD1DBD" w:rsidRDefault="00FD1DBD">
      <w:pPr>
        <w:pStyle w:val="BodyText"/>
        <w:spacing w:before="7"/>
        <w:rPr>
          <w:sz w:val="20"/>
        </w:rPr>
      </w:pPr>
    </w:p>
    <w:p w14:paraId="2CA7696B" w14:textId="3CCD72E7" w:rsidR="00FD1DBD" w:rsidRDefault="00000000">
      <w:pPr>
        <w:pStyle w:val="BodyText"/>
        <w:ind w:left="100"/>
      </w:pPr>
      <w:r>
        <w:t xml:space="preserve">i. </w:t>
      </w:r>
      <w:r w:rsidR="0068692E">
        <w:t>x</w:t>
      </w:r>
      <w:r>
        <w:t>.</w:t>
      </w:r>
      <w:r>
        <w:rPr>
          <w:spacing w:val="1"/>
        </w:rPr>
        <w:t xml:space="preserve"> </w:t>
      </w:r>
      <w:r>
        <w:t>(No</w:t>
      </w:r>
      <w:r>
        <w:rPr>
          <w:spacing w:val="1"/>
        </w:rPr>
        <w:t xml:space="preserve"> </w:t>
      </w:r>
      <w:r>
        <w:rPr>
          <w:spacing w:val="-2"/>
        </w:rPr>
        <w:t>change.)</w:t>
      </w:r>
    </w:p>
    <w:p w14:paraId="2D840550" w14:textId="77777777" w:rsidR="00FD1DBD" w:rsidRDefault="00FD1DBD">
      <w:pPr>
        <w:pStyle w:val="BodyText"/>
        <w:rPr>
          <w:sz w:val="26"/>
        </w:rPr>
      </w:pPr>
    </w:p>
    <w:p w14:paraId="3CCCA6EE" w14:textId="77777777" w:rsidR="00FD1DBD" w:rsidRDefault="00FD1DBD">
      <w:pPr>
        <w:pStyle w:val="BodyText"/>
        <w:rPr>
          <w:sz w:val="26"/>
        </w:rPr>
      </w:pPr>
    </w:p>
    <w:p w14:paraId="249B73EB" w14:textId="1A1D8D39" w:rsidR="00FD1DBD" w:rsidRPr="00D70F6A" w:rsidRDefault="0068692E" w:rsidP="00D70F6A">
      <w:pPr>
        <w:pStyle w:val="BodyText"/>
        <w:spacing w:before="227" w:line="482" w:lineRule="auto"/>
        <w:ind w:left="100" w:right="149"/>
        <w:rPr>
          <w:b/>
          <w:bCs/>
          <w:spacing w:val="-1"/>
        </w:rPr>
      </w:pPr>
      <w:r w:rsidRPr="009477AA">
        <w:rPr>
          <w:b/>
          <w:bCs/>
        </w:rPr>
        <w:t>xi.</w:t>
      </w:r>
      <w:r w:rsidRPr="009477AA">
        <w:rPr>
          <w:b/>
          <w:bCs/>
          <w:spacing w:val="-1"/>
        </w:rPr>
        <w:t xml:space="preserve"> </w:t>
      </w:r>
      <w:r w:rsidR="009477AA">
        <w:rPr>
          <w:b/>
          <w:bCs/>
          <w:spacing w:val="-1"/>
        </w:rPr>
        <w:t xml:space="preserve"> </w:t>
      </w:r>
      <w:r w:rsidRPr="009477AA">
        <w:rPr>
          <w:b/>
          <w:bCs/>
          <w:spacing w:val="-1"/>
        </w:rPr>
        <w:t>No more than two fillets per legally caught striped bass</w:t>
      </w:r>
      <w:r w:rsidR="00AF7AAB">
        <w:rPr>
          <w:b/>
          <w:bCs/>
          <w:spacing w:val="-1"/>
        </w:rPr>
        <w:t xml:space="preserve"> or striped bass hybrid</w:t>
      </w:r>
      <w:r w:rsidRPr="009477AA">
        <w:rPr>
          <w:b/>
          <w:bCs/>
          <w:spacing w:val="-1"/>
        </w:rPr>
        <w:t xml:space="preserve"> shall be possessed by any individual while at-sea.</w:t>
      </w:r>
      <w:r w:rsidR="009477AA" w:rsidRPr="009477AA">
        <w:rPr>
          <w:b/>
          <w:bCs/>
          <w:spacing w:val="-1"/>
        </w:rPr>
        <w:t xml:space="preserve"> </w:t>
      </w:r>
    </w:p>
    <w:p w14:paraId="6B47D555" w14:textId="77777777" w:rsidR="00FD1DBD" w:rsidRDefault="00FD1DBD">
      <w:pPr>
        <w:pStyle w:val="BodyText"/>
        <w:rPr>
          <w:sz w:val="26"/>
        </w:rPr>
      </w:pPr>
    </w:p>
    <w:p w14:paraId="3DD0104B" w14:textId="23F49378" w:rsidR="00FD1DBD" w:rsidRDefault="00000000" w:rsidP="00135205">
      <w:pPr>
        <w:pStyle w:val="BodyText"/>
        <w:numPr>
          <w:ilvl w:val="0"/>
          <w:numId w:val="1"/>
        </w:numPr>
        <w:spacing w:before="179"/>
        <w:rPr>
          <w:spacing w:val="-2"/>
        </w:rPr>
      </w:pPr>
      <w:r>
        <w:t>–</w:t>
      </w:r>
      <w:r>
        <w:rPr>
          <w:spacing w:val="-1"/>
        </w:rPr>
        <w:t xml:space="preserve"> </w:t>
      </w:r>
      <w:r>
        <w:t>(r) (No</w:t>
      </w:r>
      <w:r>
        <w:rPr>
          <w:spacing w:val="-1"/>
        </w:rPr>
        <w:t xml:space="preserve"> </w:t>
      </w:r>
      <w:r>
        <w:rPr>
          <w:spacing w:val="-2"/>
        </w:rPr>
        <w:t>change.)</w:t>
      </w:r>
    </w:p>
    <w:p w14:paraId="231CD3C3" w14:textId="77777777" w:rsidR="00135205" w:rsidRDefault="00135205" w:rsidP="00135205">
      <w:pPr>
        <w:pStyle w:val="BodyText"/>
        <w:spacing w:before="179"/>
        <w:ind w:left="100"/>
        <w:rPr>
          <w:spacing w:val="-2"/>
        </w:rPr>
      </w:pPr>
    </w:p>
    <w:p w14:paraId="564DDD8E" w14:textId="77777777" w:rsidR="00270470" w:rsidRDefault="00270470" w:rsidP="00135205">
      <w:pPr>
        <w:pStyle w:val="BodyText"/>
        <w:spacing w:before="179"/>
        <w:ind w:left="100"/>
        <w:rPr>
          <w:spacing w:val="-2"/>
        </w:rPr>
      </w:pPr>
    </w:p>
    <w:p w14:paraId="39004E74" w14:textId="6DE71CEF" w:rsidR="00135205" w:rsidRDefault="00270470" w:rsidP="00135205">
      <w:pPr>
        <w:pStyle w:val="BodyText"/>
        <w:spacing w:before="179"/>
        <w:ind w:left="100"/>
        <w:rPr>
          <w:spacing w:val="-2"/>
        </w:rPr>
      </w:pPr>
      <w:r>
        <w:rPr>
          <w:spacing w:val="-2"/>
        </w:rPr>
        <w:t xml:space="preserve">7:25- </w:t>
      </w:r>
      <w:r w:rsidR="00135205">
        <w:rPr>
          <w:spacing w:val="-2"/>
        </w:rPr>
        <w:t>18.13</w:t>
      </w:r>
      <w:r>
        <w:rPr>
          <w:spacing w:val="-2"/>
        </w:rPr>
        <w:t xml:space="preserve"> Striped bass bonus program</w:t>
      </w:r>
    </w:p>
    <w:p w14:paraId="692DEE5C" w14:textId="77777777" w:rsidR="00270470" w:rsidRDefault="00270470" w:rsidP="00135205">
      <w:pPr>
        <w:pStyle w:val="BodyText"/>
        <w:spacing w:before="179"/>
        <w:ind w:left="100"/>
      </w:pPr>
    </w:p>
    <w:p w14:paraId="4AE95A76" w14:textId="0E12254F" w:rsidR="00135205" w:rsidRDefault="00135205" w:rsidP="00135205">
      <w:pPr>
        <w:pStyle w:val="BodyText"/>
        <w:spacing w:before="179"/>
        <w:ind w:left="100"/>
        <w:rPr>
          <w:spacing w:val="-2"/>
        </w:rPr>
      </w:pPr>
      <w:r>
        <w:t xml:space="preserve">(a) </w:t>
      </w:r>
      <w:r>
        <w:t>–</w:t>
      </w:r>
      <w:r>
        <w:rPr>
          <w:spacing w:val="-1"/>
        </w:rPr>
        <w:t xml:space="preserve"> </w:t>
      </w:r>
      <w:r>
        <w:t>(</w:t>
      </w:r>
      <w:r w:rsidRPr="00135205">
        <w:rPr>
          <w:i/>
          <w:iCs/>
        </w:rPr>
        <w:t>l</w:t>
      </w:r>
      <w:r>
        <w:t>) (No</w:t>
      </w:r>
      <w:r>
        <w:rPr>
          <w:spacing w:val="-1"/>
        </w:rPr>
        <w:t xml:space="preserve"> </w:t>
      </w:r>
      <w:r>
        <w:rPr>
          <w:spacing w:val="-2"/>
        </w:rPr>
        <w:t>change.)</w:t>
      </w:r>
    </w:p>
    <w:p w14:paraId="0AA59A03" w14:textId="77777777" w:rsidR="00270470" w:rsidRDefault="00270470" w:rsidP="00135205">
      <w:pPr>
        <w:pStyle w:val="BodyText"/>
        <w:spacing w:before="179"/>
        <w:ind w:left="100"/>
        <w:rPr>
          <w:rStyle w:val="ssbf"/>
          <w:color w:val="373739"/>
          <w:bdr w:val="none" w:sz="0" w:space="0" w:color="auto" w:frame="1"/>
          <w:shd w:val="clear" w:color="auto" w:fill="FFFFFF"/>
        </w:rPr>
      </w:pPr>
    </w:p>
    <w:p w14:paraId="1966CDC9" w14:textId="54959C9A" w:rsidR="00135205" w:rsidRDefault="00135205" w:rsidP="00135205">
      <w:pPr>
        <w:pStyle w:val="BodyText"/>
        <w:spacing w:before="179"/>
        <w:ind w:left="100"/>
        <w:rPr>
          <w:rStyle w:val="ssparacontent"/>
          <w:color w:val="212121"/>
          <w:bdr w:val="none" w:sz="0" w:space="0" w:color="auto" w:frame="1"/>
          <w:shd w:val="clear" w:color="auto" w:fill="FFFFFF"/>
        </w:rPr>
      </w:pPr>
      <w:r w:rsidRPr="00135205">
        <w:rPr>
          <w:rStyle w:val="ssbf"/>
          <w:color w:val="373739"/>
          <w:bdr w:val="none" w:sz="0" w:space="0" w:color="auto" w:frame="1"/>
          <w:shd w:val="clear" w:color="auto" w:fill="FFFFFF"/>
        </w:rPr>
        <w:t>(m)</w:t>
      </w:r>
      <w:r w:rsidRPr="00135205">
        <w:rPr>
          <w:rStyle w:val="ssparalabel"/>
          <w:color w:val="212121"/>
          <w:bdr w:val="none" w:sz="0" w:space="0" w:color="auto" w:frame="1"/>
          <w:shd w:val="clear" w:color="auto" w:fill="FFFFFF"/>
        </w:rPr>
        <w:t> </w:t>
      </w:r>
      <w:r w:rsidRPr="00135205">
        <w:rPr>
          <w:rStyle w:val="ssparacontent"/>
          <w:color w:val="212121"/>
          <w:bdr w:val="none" w:sz="0" w:space="0" w:color="auto" w:frame="1"/>
          <w:shd w:val="clear" w:color="auto" w:fill="FFFFFF"/>
        </w:rPr>
        <w:t>The quota described in (</w:t>
      </w:r>
      <w:r w:rsidRPr="00135205">
        <w:rPr>
          <w:rStyle w:val="ssit"/>
          <w:i/>
          <w:iCs/>
          <w:color w:val="212121"/>
          <w:bdr w:val="none" w:sz="0" w:space="0" w:color="auto" w:frame="1"/>
          <w:shd w:val="clear" w:color="auto" w:fill="FFFFFF"/>
        </w:rPr>
        <w:t>l</w:t>
      </w:r>
      <w:r w:rsidRPr="00135205">
        <w:rPr>
          <w:rStyle w:val="ssparacontent"/>
          <w:color w:val="212121"/>
          <w:bdr w:val="none" w:sz="0" w:space="0" w:color="auto" w:frame="1"/>
          <w:shd w:val="clear" w:color="auto" w:fill="FFFFFF"/>
        </w:rPr>
        <w:t xml:space="preserve">) above shall be </w:t>
      </w:r>
      <w:r>
        <w:rPr>
          <w:rStyle w:val="ssparacontent"/>
          <w:color w:val="212121"/>
          <w:bdr w:val="none" w:sz="0" w:space="0" w:color="auto" w:frame="1"/>
          <w:shd w:val="clear" w:color="auto" w:fill="FFFFFF"/>
        </w:rPr>
        <w:t>[</w:t>
      </w:r>
      <w:r w:rsidRPr="00135205">
        <w:rPr>
          <w:rStyle w:val="ssparacontent"/>
          <w:color w:val="212121"/>
          <w:bdr w:val="none" w:sz="0" w:space="0" w:color="auto" w:frame="1"/>
          <w:shd w:val="clear" w:color="auto" w:fill="FFFFFF"/>
        </w:rPr>
        <w:t>215,912</w:t>
      </w:r>
      <w:r>
        <w:rPr>
          <w:rStyle w:val="ssparacontent"/>
          <w:color w:val="212121"/>
          <w:bdr w:val="none" w:sz="0" w:space="0" w:color="auto" w:frame="1"/>
          <w:shd w:val="clear" w:color="auto" w:fill="FFFFFF"/>
        </w:rPr>
        <w:t>]</w:t>
      </w:r>
      <w:r w:rsidRPr="00135205">
        <w:rPr>
          <w:rStyle w:val="ssparacontent"/>
          <w:b/>
          <w:bCs/>
          <w:color w:val="212121"/>
          <w:bdr w:val="none" w:sz="0" w:space="0" w:color="auto" w:frame="1"/>
          <w:shd w:val="clear" w:color="auto" w:fill="FFFFFF"/>
        </w:rPr>
        <w:t>200,798</w:t>
      </w:r>
      <w:r w:rsidRPr="00135205">
        <w:rPr>
          <w:rStyle w:val="ssparacontent"/>
          <w:color w:val="212121"/>
          <w:bdr w:val="none" w:sz="0" w:space="0" w:color="auto" w:frame="1"/>
          <w:shd w:val="clear" w:color="auto" w:fill="FFFFFF"/>
        </w:rPr>
        <w:t xml:space="preserve"> pounds until such time as another quota is duly promulgated by the Atlantic States Marine Fisheries Commission. A portion of this quota will be allotted to party and charter boats.</w:t>
      </w:r>
    </w:p>
    <w:p w14:paraId="3D39B837" w14:textId="77777777" w:rsidR="00135205" w:rsidRDefault="00135205" w:rsidP="00135205">
      <w:pPr>
        <w:pStyle w:val="BodyText"/>
        <w:spacing w:before="179"/>
        <w:ind w:left="100"/>
      </w:pPr>
    </w:p>
    <w:p w14:paraId="25081152" w14:textId="68C1242C" w:rsidR="00135205" w:rsidRDefault="00135205" w:rsidP="00135205">
      <w:pPr>
        <w:pStyle w:val="BodyText"/>
        <w:spacing w:before="179"/>
        <w:ind w:left="100"/>
        <w:rPr>
          <w:spacing w:val="-2"/>
        </w:rPr>
      </w:pPr>
      <w:r>
        <w:t>(</w:t>
      </w:r>
      <w:r w:rsidR="00270470">
        <w:t>n</w:t>
      </w:r>
      <w:r>
        <w:t>) –</w:t>
      </w:r>
      <w:r>
        <w:rPr>
          <w:spacing w:val="-1"/>
        </w:rPr>
        <w:t xml:space="preserve"> </w:t>
      </w:r>
      <w:r>
        <w:t>(</w:t>
      </w:r>
      <w:r w:rsidR="00270470">
        <w:t>p</w:t>
      </w:r>
      <w:r>
        <w:t>) (No</w:t>
      </w:r>
      <w:r>
        <w:rPr>
          <w:spacing w:val="-1"/>
        </w:rPr>
        <w:t xml:space="preserve"> </w:t>
      </w:r>
      <w:r>
        <w:rPr>
          <w:spacing w:val="-2"/>
        </w:rPr>
        <w:t>change.)</w:t>
      </w:r>
    </w:p>
    <w:p w14:paraId="09BCA4B9" w14:textId="77777777" w:rsidR="00135205" w:rsidRPr="00135205" w:rsidRDefault="00135205" w:rsidP="00135205">
      <w:pPr>
        <w:pStyle w:val="BodyText"/>
        <w:spacing w:before="179"/>
        <w:ind w:left="100"/>
      </w:pPr>
    </w:p>
    <w:p w14:paraId="1C83705A" w14:textId="77777777" w:rsidR="00FD1DBD" w:rsidRPr="00135205" w:rsidRDefault="00FD1DBD">
      <w:pPr>
        <w:pStyle w:val="BodyText"/>
      </w:pPr>
    </w:p>
    <w:p w14:paraId="7979FEBD" w14:textId="77777777" w:rsidR="00FD1DBD" w:rsidRDefault="00FD1DBD">
      <w:pPr>
        <w:pStyle w:val="BodyText"/>
        <w:rPr>
          <w:sz w:val="20"/>
        </w:rPr>
      </w:pPr>
    </w:p>
    <w:p w14:paraId="0D7326A8" w14:textId="77777777" w:rsidR="00DF44BE" w:rsidRDefault="00DF44BE">
      <w:pPr>
        <w:pStyle w:val="BodyText"/>
        <w:rPr>
          <w:sz w:val="20"/>
        </w:rPr>
      </w:pPr>
    </w:p>
    <w:p w14:paraId="04A1F701" w14:textId="77777777" w:rsidR="00DF44BE" w:rsidRDefault="00DF44BE">
      <w:pPr>
        <w:pStyle w:val="BodyText"/>
        <w:rPr>
          <w:sz w:val="20"/>
        </w:rPr>
      </w:pPr>
    </w:p>
    <w:p w14:paraId="7E74F647" w14:textId="56FDA023" w:rsidR="00DF44BE" w:rsidRPr="00054F30" w:rsidRDefault="00DF44BE" w:rsidP="00DF44BE">
      <w:pPr>
        <w:rPr>
          <w:sz w:val="24"/>
          <w:szCs w:val="24"/>
        </w:rPr>
      </w:pPr>
      <w:r w:rsidRPr="00054F30">
        <w:rPr>
          <w:sz w:val="24"/>
          <w:szCs w:val="24"/>
        </w:rPr>
        <w:t>_____________________________</w:t>
      </w:r>
      <w:r w:rsidRPr="00054F30">
        <w:rPr>
          <w:sz w:val="24"/>
          <w:szCs w:val="24"/>
        </w:rPr>
        <w:tab/>
        <w:t xml:space="preserve">                  _________________________________</w:t>
      </w:r>
    </w:p>
    <w:p w14:paraId="582E94E4" w14:textId="1B2A4012" w:rsidR="00FD1DBD" w:rsidRDefault="00FD1DBD">
      <w:pPr>
        <w:pStyle w:val="BodyText"/>
        <w:spacing w:before="6"/>
        <w:rPr>
          <w:sz w:val="11"/>
        </w:rPr>
      </w:pPr>
    </w:p>
    <w:p w14:paraId="0E12CEF7" w14:textId="77777777" w:rsidR="00FD1DBD" w:rsidRDefault="00000000">
      <w:pPr>
        <w:pStyle w:val="BodyText"/>
        <w:tabs>
          <w:tab w:val="left" w:pos="4784"/>
        </w:tabs>
        <w:spacing w:before="4"/>
        <w:ind w:left="100"/>
      </w:pPr>
      <w:r>
        <w:rPr>
          <w:spacing w:val="-4"/>
        </w:rPr>
        <w:t>Date</w:t>
      </w:r>
      <w:r>
        <w:tab/>
        <w:t>Shawn</w:t>
      </w:r>
      <w:r>
        <w:rPr>
          <w:spacing w:val="-1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LaTourette,</w:t>
      </w:r>
      <w:r>
        <w:rPr>
          <w:spacing w:val="3"/>
        </w:rPr>
        <w:t xml:space="preserve"> </w:t>
      </w:r>
      <w:r>
        <w:rPr>
          <w:spacing w:val="-2"/>
        </w:rPr>
        <w:t>Commissioner</w:t>
      </w:r>
    </w:p>
    <w:p w14:paraId="029A8EEF" w14:textId="77777777" w:rsidR="00FD1DBD" w:rsidRDefault="00000000">
      <w:pPr>
        <w:pStyle w:val="BodyText"/>
        <w:spacing w:before="4"/>
        <w:ind w:left="4785"/>
      </w:pPr>
      <w:r>
        <w:t>Department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Environmental</w:t>
      </w:r>
      <w:r>
        <w:rPr>
          <w:spacing w:val="9"/>
        </w:rPr>
        <w:t xml:space="preserve"> </w:t>
      </w:r>
      <w:r>
        <w:rPr>
          <w:spacing w:val="-2"/>
        </w:rPr>
        <w:t>Protection</w:t>
      </w:r>
    </w:p>
    <w:sectPr w:rsidR="00FD1DBD">
      <w:footerReference w:type="default" r:id="rId7"/>
      <w:pgSz w:w="12240" w:h="15840"/>
      <w:pgMar w:top="1820" w:right="1320" w:bottom="1200" w:left="1340" w:header="0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8CA2" w14:textId="77777777" w:rsidR="00E1605C" w:rsidRDefault="00E1605C">
      <w:r>
        <w:separator/>
      </w:r>
    </w:p>
  </w:endnote>
  <w:endnote w:type="continuationSeparator" w:id="0">
    <w:p w14:paraId="6C6EAB03" w14:textId="77777777" w:rsidR="00E1605C" w:rsidRDefault="00E1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5233" w14:textId="77777777" w:rsidR="00FD1DBD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1280" behindDoc="1" locked="0" layoutInCell="1" allowOverlap="1" wp14:anchorId="4E468AA0" wp14:editId="034109F9">
              <wp:simplePos x="0" y="0"/>
              <wp:positionH relativeFrom="page">
                <wp:posOffset>3813175</wp:posOffset>
              </wp:positionH>
              <wp:positionV relativeFrom="page">
                <wp:posOffset>9280207</wp:posOffset>
              </wp:positionV>
              <wp:extent cx="16002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623D05" w14:textId="77777777" w:rsidR="00FD1DBD" w:rsidRDefault="0000000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468AA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0.25pt;margin-top:730.7pt;width:12.6pt;height:13pt;z-index:-1579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" filled="f" stroked="f">
              <v:textbox inset="0,0,0,0">
                <w:txbxContent>
                  <w:p w14:paraId="29623D05" w14:textId="77777777" w:rsidR="00FD1DBD" w:rsidRDefault="0000000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2ECAF" w14:textId="77777777" w:rsidR="00E1605C" w:rsidRDefault="00E1605C">
      <w:r>
        <w:separator/>
      </w:r>
    </w:p>
  </w:footnote>
  <w:footnote w:type="continuationSeparator" w:id="0">
    <w:p w14:paraId="3BD1076C" w14:textId="77777777" w:rsidR="00E1605C" w:rsidRDefault="00E16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C7CFE"/>
    <w:multiLevelType w:val="hybridMultilevel"/>
    <w:tmpl w:val="D4E03A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54789"/>
    <w:multiLevelType w:val="hybridMultilevel"/>
    <w:tmpl w:val="799E3AAA"/>
    <w:lvl w:ilvl="0" w:tplc="577EDFFC">
      <w:start w:val="1"/>
      <w:numFmt w:val="upperLetter"/>
      <w:lvlText w:val="%1&gt;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3FC9443B"/>
    <w:multiLevelType w:val="hybridMultilevel"/>
    <w:tmpl w:val="AA064AF2"/>
    <w:lvl w:ilvl="0" w:tplc="7F8C8940">
      <w:start w:val="6"/>
      <w:numFmt w:val="lowerLetter"/>
      <w:lvlText w:val="(%1)"/>
      <w:lvlJc w:val="left"/>
      <w:pPr>
        <w:ind w:left="40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C2C286A">
      <w:start w:val="1"/>
      <w:numFmt w:val="decimal"/>
      <w:lvlText w:val="%2."/>
      <w:lvlJc w:val="left"/>
      <w:pPr>
        <w:ind w:left="341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B9A2EEE2">
      <w:numFmt w:val="bullet"/>
      <w:lvlText w:val="•"/>
      <w:lvlJc w:val="left"/>
      <w:pPr>
        <w:ind w:left="400" w:hanging="241"/>
      </w:pPr>
      <w:rPr>
        <w:rFonts w:hint="default"/>
        <w:lang w:val="en-US" w:eastAsia="en-US" w:bidi="ar-SA"/>
      </w:rPr>
    </w:lvl>
    <w:lvl w:ilvl="3" w:tplc="0730FD2E">
      <w:numFmt w:val="bullet"/>
      <w:lvlText w:val="•"/>
      <w:lvlJc w:val="left"/>
      <w:pPr>
        <w:ind w:left="1547" w:hanging="241"/>
      </w:pPr>
      <w:rPr>
        <w:rFonts w:hint="default"/>
        <w:lang w:val="en-US" w:eastAsia="en-US" w:bidi="ar-SA"/>
      </w:rPr>
    </w:lvl>
    <w:lvl w:ilvl="4" w:tplc="6F42D7B8">
      <w:numFmt w:val="bullet"/>
      <w:lvlText w:val="•"/>
      <w:lvlJc w:val="left"/>
      <w:pPr>
        <w:ind w:left="2695" w:hanging="241"/>
      </w:pPr>
      <w:rPr>
        <w:rFonts w:hint="default"/>
        <w:lang w:val="en-US" w:eastAsia="en-US" w:bidi="ar-SA"/>
      </w:rPr>
    </w:lvl>
    <w:lvl w:ilvl="5" w:tplc="41FCEFBA">
      <w:numFmt w:val="bullet"/>
      <w:lvlText w:val="•"/>
      <w:lvlJc w:val="left"/>
      <w:pPr>
        <w:ind w:left="3842" w:hanging="241"/>
      </w:pPr>
      <w:rPr>
        <w:rFonts w:hint="default"/>
        <w:lang w:val="en-US" w:eastAsia="en-US" w:bidi="ar-SA"/>
      </w:rPr>
    </w:lvl>
    <w:lvl w:ilvl="6" w:tplc="7CA447A6">
      <w:numFmt w:val="bullet"/>
      <w:lvlText w:val="•"/>
      <w:lvlJc w:val="left"/>
      <w:pPr>
        <w:ind w:left="4990" w:hanging="241"/>
      </w:pPr>
      <w:rPr>
        <w:rFonts w:hint="default"/>
        <w:lang w:val="en-US" w:eastAsia="en-US" w:bidi="ar-SA"/>
      </w:rPr>
    </w:lvl>
    <w:lvl w:ilvl="7" w:tplc="FA34581E">
      <w:numFmt w:val="bullet"/>
      <w:lvlText w:val="•"/>
      <w:lvlJc w:val="left"/>
      <w:pPr>
        <w:ind w:left="6137" w:hanging="241"/>
      </w:pPr>
      <w:rPr>
        <w:rFonts w:hint="default"/>
        <w:lang w:val="en-US" w:eastAsia="en-US" w:bidi="ar-SA"/>
      </w:rPr>
    </w:lvl>
    <w:lvl w:ilvl="8" w:tplc="CE4A7B84">
      <w:numFmt w:val="bullet"/>
      <w:lvlText w:val="•"/>
      <w:lvlJc w:val="left"/>
      <w:pPr>
        <w:ind w:left="7285" w:hanging="241"/>
      </w:pPr>
      <w:rPr>
        <w:rFonts w:hint="default"/>
        <w:lang w:val="en-US" w:eastAsia="en-US" w:bidi="ar-SA"/>
      </w:rPr>
    </w:lvl>
  </w:abstractNum>
  <w:abstractNum w:abstractNumId="3" w15:restartNumberingAfterBreak="0">
    <w:nsid w:val="6EA461FE"/>
    <w:multiLevelType w:val="hybridMultilevel"/>
    <w:tmpl w:val="216E032A"/>
    <w:lvl w:ilvl="0" w:tplc="D3C0F694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583377">
    <w:abstractNumId w:val="2"/>
  </w:num>
  <w:num w:numId="2" w16cid:durableId="1260410139">
    <w:abstractNumId w:val="1"/>
  </w:num>
  <w:num w:numId="3" w16cid:durableId="1786189317">
    <w:abstractNumId w:val="3"/>
  </w:num>
  <w:num w:numId="4" w16cid:durableId="495069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DBD"/>
    <w:rsid w:val="00135205"/>
    <w:rsid w:val="001635D3"/>
    <w:rsid w:val="00270470"/>
    <w:rsid w:val="004B68C9"/>
    <w:rsid w:val="005409AC"/>
    <w:rsid w:val="005E2D98"/>
    <w:rsid w:val="0068692E"/>
    <w:rsid w:val="006A0AB6"/>
    <w:rsid w:val="006F015D"/>
    <w:rsid w:val="008F2D03"/>
    <w:rsid w:val="009477AA"/>
    <w:rsid w:val="00997D8A"/>
    <w:rsid w:val="00AF7AAB"/>
    <w:rsid w:val="00B84909"/>
    <w:rsid w:val="00B95FC8"/>
    <w:rsid w:val="00C56124"/>
    <w:rsid w:val="00D70F6A"/>
    <w:rsid w:val="00DF44BE"/>
    <w:rsid w:val="00E1605C"/>
    <w:rsid w:val="00EC16B7"/>
    <w:rsid w:val="00FD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388F0"/>
  <w15:docId w15:val="{1616280A-56CE-477B-9D89-065770A1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0" w:hanging="24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70F6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0F6A"/>
    <w:rPr>
      <w:color w:val="605E5C"/>
      <w:shd w:val="clear" w:color="auto" w:fill="E1DFDD"/>
    </w:rPr>
  </w:style>
  <w:style w:type="character" w:customStyle="1" w:styleId="ssparalabel">
    <w:name w:val="ss_paralabel"/>
    <w:basedOn w:val="DefaultParagraphFont"/>
    <w:rsid w:val="00135205"/>
  </w:style>
  <w:style w:type="character" w:customStyle="1" w:styleId="ssbf">
    <w:name w:val="ss_bf"/>
    <w:basedOn w:val="DefaultParagraphFont"/>
    <w:rsid w:val="00135205"/>
  </w:style>
  <w:style w:type="character" w:customStyle="1" w:styleId="ssparacontent">
    <w:name w:val="ss_paracontent"/>
    <w:basedOn w:val="DefaultParagraphFont"/>
    <w:rsid w:val="00135205"/>
  </w:style>
  <w:style w:type="character" w:customStyle="1" w:styleId="ssit">
    <w:name w:val="ss_it"/>
    <w:basedOn w:val="DefaultParagraphFont"/>
    <w:rsid w:val="00135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 Allen</dc:creator>
  <cp:lastModifiedBy>Daher, Jessica [DEP]</cp:lastModifiedBy>
  <cp:revision>14</cp:revision>
  <dcterms:created xsi:type="dcterms:W3CDTF">2024-03-06T18:18:00Z</dcterms:created>
  <dcterms:modified xsi:type="dcterms:W3CDTF">2024-03-06T21:37:00Z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2023-06-29T00:00:00Z</vt:filetime>
  </property>
  <property fmtid="{D5CDD505-2E9C-101B-9397-08002B2CF9AE}" pid="5" name="Producer">
    <vt:lpwstr>Microsoft® Word for Microsoft 365</vt:lpwstr>
  </property>
</Properties>
</file>