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46808" w14:textId="77777777" w:rsidR="003D61E3" w:rsidRPr="007C2C84" w:rsidRDefault="003D61E3" w:rsidP="00155749">
      <w:pPr>
        <w:widowControl/>
        <w:jc w:val="center"/>
      </w:pPr>
      <w:r w:rsidRPr="007C2C84">
        <w:t>NEW JERSEY STATE DEPARTMENT OF ENVIRONMENTAL PROTECTION</w:t>
      </w:r>
    </w:p>
    <w:p w14:paraId="0D67CA7C" w14:textId="77777777" w:rsidR="003D61E3" w:rsidRPr="007C2C84" w:rsidRDefault="003D61E3" w:rsidP="00155749">
      <w:pPr>
        <w:widowControl/>
        <w:jc w:val="center"/>
      </w:pPr>
      <w:r w:rsidRPr="007C2C84">
        <w:t>NEW JERSEY ADMINISTRATIVE CODE</w:t>
      </w:r>
    </w:p>
    <w:p w14:paraId="61CFA6C6" w14:textId="77777777" w:rsidR="003D61E3" w:rsidRPr="007C2C84" w:rsidRDefault="003D61E3" w:rsidP="00155749">
      <w:pPr>
        <w:widowControl/>
        <w:jc w:val="center"/>
      </w:pPr>
      <w:r w:rsidRPr="007C2C84">
        <w:t>TITLE 7</w:t>
      </w:r>
    </w:p>
    <w:p w14:paraId="763DEED1" w14:textId="77777777" w:rsidR="003D61E3" w:rsidRPr="007C2C84" w:rsidRDefault="003D61E3" w:rsidP="00155749">
      <w:pPr>
        <w:widowControl/>
        <w:jc w:val="center"/>
      </w:pPr>
      <w:r w:rsidRPr="007C2C84">
        <w:t>CHAPTER 27</w:t>
      </w:r>
    </w:p>
    <w:p w14:paraId="40FFAF8D" w14:textId="77777777" w:rsidR="003D61E3" w:rsidRDefault="003D61E3" w:rsidP="00155749">
      <w:pPr>
        <w:widowControl/>
        <w:jc w:val="center"/>
      </w:pPr>
      <w:r w:rsidRPr="007C2C84">
        <w:t>SUBCHAPTER 9</w:t>
      </w:r>
    </w:p>
    <w:p w14:paraId="2BFE9628" w14:textId="77777777" w:rsidR="00A23516" w:rsidRPr="007C2C84" w:rsidRDefault="00A23516" w:rsidP="00155749">
      <w:pPr>
        <w:widowControl/>
        <w:jc w:val="center"/>
      </w:pPr>
    </w:p>
    <w:p w14:paraId="60D33F84" w14:textId="77777777" w:rsidR="003D61E3" w:rsidRPr="007C2C84" w:rsidRDefault="00A23516" w:rsidP="00155749">
      <w:pPr>
        <w:widowControl/>
        <w:jc w:val="center"/>
        <w:rPr>
          <w:b/>
        </w:rPr>
      </w:pPr>
      <w:r w:rsidRPr="007C2C84">
        <w:rPr>
          <w:b/>
        </w:rPr>
        <w:t>Sulfur in Fuels</w:t>
      </w:r>
    </w:p>
    <w:p w14:paraId="233893A1" w14:textId="77777777" w:rsidR="00A23516" w:rsidRDefault="003D61E3" w:rsidP="00155749">
      <w:pPr>
        <w:pStyle w:val="Section"/>
        <w:widowControl/>
        <w:tabs>
          <w:tab w:val="center" w:pos="4680"/>
        </w:tabs>
        <w:spacing w:line="240" w:lineRule="auto"/>
        <w:jc w:val="both"/>
        <w:rPr>
          <w:szCs w:val="24"/>
        </w:rPr>
      </w:pPr>
      <w:r w:rsidRPr="007C2C84">
        <w:rPr>
          <w:szCs w:val="24"/>
        </w:rPr>
        <w:tab/>
      </w:r>
      <w:bookmarkStart w:id="0" w:name="Generated_Bookmark1"/>
      <w:bookmarkEnd w:id="0"/>
    </w:p>
    <w:p w14:paraId="4C8457D0" w14:textId="77777777" w:rsidR="00A23516" w:rsidRPr="00A23516" w:rsidRDefault="00A23516" w:rsidP="00A23516">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A23516">
        <w:t>TABLE OF CONTENTS</w:t>
      </w:r>
    </w:p>
    <w:p w14:paraId="0C29959E" w14:textId="77777777" w:rsidR="00A23516" w:rsidRDefault="00A23516" w:rsidP="00A23516">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14:paraId="325D73B7" w14:textId="77777777" w:rsidR="00767C7F" w:rsidRPr="00767C7F" w:rsidRDefault="00767C7F" w:rsidP="00767C7F">
      <w:r w:rsidRPr="0084188C">
        <w:rPr>
          <w:b/>
          <w:u w:val="single"/>
        </w:rPr>
        <w:t>Section</w:t>
      </w:r>
      <w:r>
        <w:tab/>
      </w:r>
      <w:r>
        <w:tab/>
      </w:r>
      <w:r>
        <w:tab/>
      </w:r>
      <w:r>
        <w:tab/>
      </w:r>
      <w:r>
        <w:tab/>
      </w:r>
      <w:r>
        <w:tab/>
      </w:r>
      <w:r>
        <w:tab/>
      </w:r>
      <w:r>
        <w:tab/>
      </w:r>
      <w:r>
        <w:tab/>
      </w:r>
      <w:r>
        <w:tab/>
      </w:r>
      <w:r>
        <w:tab/>
      </w:r>
      <w:r w:rsidRPr="00767C7F">
        <w:rPr>
          <w:b/>
          <w:u w:val="single"/>
        </w:rPr>
        <w:t>Page</w:t>
      </w:r>
    </w:p>
    <w:p w14:paraId="462CF87D" w14:textId="77777777" w:rsidR="002F07DA" w:rsidRDefault="002F07DA" w:rsidP="00A23516">
      <w:pPr>
        <w:pStyle w:val="Heading1"/>
        <w:tabs>
          <w:tab w:val="left" w:pos="1080"/>
          <w:tab w:val="right" w:leader="dot" w:pos="9180"/>
        </w:tabs>
        <w:spacing w:before="0" w:after="0"/>
        <w:rPr>
          <w:rFonts w:ascii="Times New Roman" w:hAnsi="Times New Roman" w:cs="Times New Roman"/>
          <w:b w:val="0"/>
          <w:sz w:val="24"/>
          <w:szCs w:val="24"/>
        </w:rPr>
      </w:pPr>
      <w:r>
        <w:rPr>
          <w:rFonts w:ascii="Times New Roman" w:hAnsi="Times New Roman" w:cs="Times New Roman"/>
          <w:b w:val="0"/>
          <w:sz w:val="24"/>
          <w:szCs w:val="24"/>
        </w:rPr>
        <w:t>REGULATORY HISTORY</w:t>
      </w:r>
      <w:r>
        <w:rPr>
          <w:rFonts w:ascii="Times New Roman" w:hAnsi="Times New Roman" w:cs="Times New Roman"/>
          <w:b w:val="0"/>
          <w:sz w:val="24"/>
          <w:szCs w:val="24"/>
        </w:rPr>
        <w:tab/>
        <w:t>2</w:t>
      </w:r>
    </w:p>
    <w:p w14:paraId="4645B86A" w14:textId="77777777" w:rsidR="00A23516" w:rsidRPr="007C2C84" w:rsidRDefault="00A23516" w:rsidP="00A23516">
      <w:pPr>
        <w:pStyle w:val="Heading1"/>
        <w:tabs>
          <w:tab w:val="left" w:pos="1080"/>
          <w:tab w:val="right" w:leader="dot" w:pos="9180"/>
        </w:tabs>
        <w:spacing w:before="0" w:after="0"/>
        <w:rPr>
          <w:rFonts w:ascii="Times New Roman" w:hAnsi="Times New Roman" w:cs="Times New Roman"/>
          <w:b w:val="0"/>
          <w:sz w:val="24"/>
          <w:szCs w:val="24"/>
        </w:rPr>
      </w:pPr>
      <w:r w:rsidRPr="007C2C84">
        <w:rPr>
          <w:rFonts w:ascii="Times New Roman" w:hAnsi="Times New Roman" w:cs="Times New Roman"/>
          <w:b w:val="0"/>
          <w:sz w:val="24"/>
          <w:szCs w:val="24"/>
        </w:rPr>
        <w:t>7:27-9.1</w:t>
      </w:r>
      <w:r w:rsidRPr="007C2C84">
        <w:rPr>
          <w:rFonts w:ascii="Times New Roman" w:hAnsi="Times New Roman" w:cs="Times New Roman"/>
          <w:b w:val="0"/>
          <w:sz w:val="24"/>
          <w:szCs w:val="24"/>
        </w:rPr>
        <w:tab/>
        <w:t>Definitions</w:t>
      </w:r>
      <w:r>
        <w:rPr>
          <w:rFonts w:ascii="Times New Roman" w:hAnsi="Times New Roman" w:cs="Times New Roman"/>
          <w:b w:val="0"/>
          <w:sz w:val="24"/>
          <w:szCs w:val="24"/>
        </w:rPr>
        <w:tab/>
      </w:r>
      <w:r w:rsidR="002F07DA">
        <w:rPr>
          <w:rFonts w:ascii="Times New Roman" w:hAnsi="Times New Roman" w:cs="Times New Roman"/>
          <w:b w:val="0"/>
          <w:sz w:val="24"/>
          <w:szCs w:val="24"/>
        </w:rPr>
        <w:t>3</w:t>
      </w:r>
    </w:p>
    <w:p w14:paraId="7BC08EA6" w14:textId="77777777" w:rsidR="00A23516" w:rsidRPr="007C2C84" w:rsidRDefault="00A23516" w:rsidP="00A23516">
      <w:pPr>
        <w:tabs>
          <w:tab w:val="left" w:pos="1080"/>
          <w:tab w:val="right" w:leader="dot" w:pos="9180"/>
        </w:tabs>
      </w:pPr>
      <w:r w:rsidRPr="007C2C84">
        <w:t>7:27-9.2</w:t>
      </w:r>
      <w:r w:rsidRPr="007C2C84">
        <w:tab/>
        <w:t>Sulfur Content Standards</w:t>
      </w:r>
      <w:r>
        <w:tab/>
      </w:r>
      <w:r w:rsidR="002F07DA">
        <w:t>4</w:t>
      </w:r>
    </w:p>
    <w:p w14:paraId="252D75D6" w14:textId="77777777" w:rsidR="00A23516" w:rsidRPr="007C2C84" w:rsidRDefault="00A23516" w:rsidP="00A23516">
      <w:pPr>
        <w:tabs>
          <w:tab w:val="left" w:pos="1080"/>
          <w:tab w:val="right" w:leader="dot" w:pos="9180"/>
        </w:tabs>
      </w:pPr>
      <w:r w:rsidRPr="007C2C84">
        <w:t>7:27-9.3</w:t>
      </w:r>
      <w:r w:rsidRPr="007C2C84">
        <w:tab/>
        <w:t>Exempt</w:t>
      </w:r>
      <w:r>
        <w:t>ions</w:t>
      </w:r>
      <w:r>
        <w:tab/>
      </w:r>
      <w:r w:rsidR="002F07DA">
        <w:t>8</w:t>
      </w:r>
    </w:p>
    <w:p w14:paraId="5C0E4C36" w14:textId="77777777" w:rsidR="00A23516" w:rsidRDefault="00A23516" w:rsidP="00A23516">
      <w:pPr>
        <w:tabs>
          <w:tab w:val="left" w:pos="1080"/>
          <w:tab w:val="right" w:leader="dot" w:pos="9180"/>
        </w:tabs>
      </w:pPr>
      <w:r w:rsidRPr="007C2C84">
        <w:t>7:27-9.4</w:t>
      </w:r>
      <w:r w:rsidRPr="007C2C84">
        <w:tab/>
        <w:t>Waiver of Air Qual</w:t>
      </w:r>
      <w:r>
        <w:t>ity Modeling</w:t>
      </w:r>
      <w:r>
        <w:tab/>
      </w:r>
      <w:r w:rsidR="002F07DA">
        <w:t>8</w:t>
      </w:r>
    </w:p>
    <w:p w14:paraId="2B8E99AC" w14:textId="77777777" w:rsidR="00A23516" w:rsidRPr="007C2C84" w:rsidRDefault="00A23516" w:rsidP="00A23516">
      <w:pPr>
        <w:tabs>
          <w:tab w:val="left" w:pos="1080"/>
          <w:tab w:val="right" w:leader="dot" w:pos="9180"/>
        </w:tabs>
      </w:pPr>
      <w:r>
        <w:t>7:27-9.5</w:t>
      </w:r>
      <w:r>
        <w:tab/>
        <w:t>Reserved</w:t>
      </w:r>
      <w:r>
        <w:tab/>
      </w:r>
      <w:r w:rsidR="002F07DA">
        <w:t>10</w:t>
      </w:r>
    </w:p>
    <w:p w14:paraId="18AA1E19" w14:textId="77777777" w:rsidR="00A23516" w:rsidRDefault="00A23516" w:rsidP="00A23516">
      <w:pPr>
        <w:pStyle w:val="Heading1"/>
        <w:spacing w:before="0" w:after="0"/>
        <w:rPr>
          <w:rFonts w:ascii="Times New Roman" w:hAnsi="Times New Roman" w:cs="Times New Roman"/>
          <w:sz w:val="24"/>
          <w:szCs w:val="24"/>
        </w:rPr>
      </w:pPr>
    </w:p>
    <w:p w14:paraId="51516AEA" w14:textId="77777777" w:rsidR="00A23516" w:rsidRDefault="00A23516" w:rsidP="00A23516"/>
    <w:p w14:paraId="3B7F77F0" w14:textId="77777777" w:rsidR="00A23516" w:rsidRDefault="00A23516" w:rsidP="00A23516"/>
    <w:p w14:paraId="2428FF5E" w14:textId="77777777" w:rsidR="00A23516" w:rsidRPr="00CC5500" w:rsidRDefault="00A23516" w:rsidP="00A23516">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53D97012" w14:textId="77777777" w:rsidR="00A23516" w:rsidRDefault="00A23516" w:rsidP="00155749">
      <w:pPr>
        <w:pStyle w:val="Section"/>
        <w:widowControl/>
        <w:tabs>
          <w:tab w:val="center" w:pos="4680"/>
        </w:tabs>
        <w:spacing w:line="240" w:lineRule="auto"/>
        <w:jc w:val="both"/>
        <w:rPr>
          <w:szCs w:val="24"/>
        </w:rPr>
      </w:pPr>
    </w:p>
    <w:p w14:paraId="57AD41D9" w14:textId="77777777" w:rsidR="003D61E3" w:rsidRPr="007C2C84" w:rsidRDefault="00A23516" w:rsidP="00A23516">
      <w:pPr>
        <w:pStyle w:val="Section"/>
        <w:widowControl/>
        <w:spacing w:line="240" w:lineRule="auto"/>
        <w:jc w:val="center"/>
        <w:rPr>
          <w:szCs w:val="24"/>
        </w:rPr>
      </w:pPr>
      <w:r>
        <w:rPr>
          <w:szCs w:val="24"/>
        </w:rPr>
        <w:br w:type="page"/>
      </w:r>
      <w:r w:rsidR="003D61E3" w:rsidRPr="007C2C84">
        <w:rPr>
          <w:szCs w:val="24"/>
        </w:rPr>
        <w:lastRenderedPageBreak/>
        <w:t>REGULATORY HISTORY</w:t>
      </w:r>
    </w:p>
    <w:p w14:paraId="2CC3FD79" w14:textId="77777777" w:rsidR="003D61E3" w:rsidRPr="007C2C84" w:rsidRDefault="003D61E3" w:rsidP="00A23516">
      <w:pPr>
        <w:pStyle w:val="Section"/>
        <w:widowControl/>
        <w:spacing w:line="240" w:lineRule="auto"/>
        <w:jc w:val="both"/>
        <w:rPr>
          <w:szCs w:val="24"/>
        </w:rPr>
      </w:pPr>
      <w:r w:rsidRPr="007C2C84">
        <w:rPr>
          <w:szCs w:val="24"/>
        </w:rPr>
        <w:fldChar w:fldCharType="begin"/>
      </w:r>
      <w:r w:rsidRPr="007C2C84">
        <w:rPr>
          <w:szCs w:val="24"/>
        </w:rPr>
        <w:instrText xml:space="preserve"> TC \l1 "REGULATORY HISTORY</w:instrText>
      </w:r>
      <w:r w:rsidRPr="007C2C84">
        <w:rPr>
          <w:szCs w:val="24"/>
        </w:rPr>
        <w:fldChar w:fldCharType="end"/>
      </w:r>
    </w:p>
    <w:tbl>
      <w:tblPr>
        <w:tblW w:w="0" w:type="auto"/>
        <w:tblInd w:w="120" w:type="dxa"/>
        <w:tblLayout w:type="fixed"/>
        <w:tblCellMar>
          <w:left w:w="120" w:type="dxa"/>
          <w:right w:w="120" w:type="dxa"/>
        </w:tblCellMar>
        <w:tblLook w:val="0000" w:firstRow="0" w:lastRow="0" w:firstColumn="0" w:lastColumn="0" w:noHBand="0" w:noVBand="0"/>
      </w:tblPr>
      <w:tblGrid>
        <w:gridCol w:w="3600"/>
        <w:gridCol w:w="5760"/>
      </w:tblGrid>
      <w:tr w:rsidR="003D61E3" w:rsidRPr="007C2C84" w14:paraId="112E0AD9" w14:textId="77777777" w:rsidTr="00A23516">
        <w:trPr>
          <w:cantSplit/>
          <w:trHeight w:hRule="exact" w:val="288"/>
        </w:trPr>
        <w:tc>
          <w:tcPr>
            <w:tcW w:w="3600" w:type="dxa"/>
          </w:tcPr>
          <w:p w14:paraId="75DFC40D" w14:textId="77777777" w:rsidR="003D61E3" w:rsidRPr="007C2C84" w:rsidRDefault="003D61E3" w:rsidP="00A23516">
            <w:pPr>
              <w:widowControl/>
            </w:pPr>
            <w:r w:rsidRPr="007C2C84">
              <w:t xml:space="preserve">Filed: </w:t>
            </w:r>
          </w:p>
          <w:p w14:paraId="2471104C" w14:textId="77777777" w:rsidR="003D61E3" w:rsidRPr="007C2C84" w:rsidRDefault="003D61E3" w:rsidP="00A23516"/>
        </w:tc>
        <w:tc>
          <w:tcPr>
            <w:tcW w:w="5760" w:type="dxa"/>
          </w:tcPr>
          <w:p w14:paraId="208B0AE7" w14:textId="77777777" w:rsidR="003D61E3" w:rsidRPr="007C2C84" w:rsidRDefault="003D61E3" w:rsidP="00A23516">
            <w:r w:rsidRPr="007C2C84">
              <w:t>January 12, 1968</w:t>
            </w:r>
          </w:p>
        </w:tc>
      </w:tr>
      <w:tr w:rsidR="003D61E3" w:rsidRPr="007C2C84" w14:paraId="558CF9A6" w14:textId="77777777" w:rsidTr="00A23516">
        <w:trPr>
          <w:cantSplit/>
          <w:trHeight w:hRule="exact" w:val="288"/>
        </w:trPr>
        <w:tc>
          <w:tcPr>
            <w:tcW w:w="3600" w:type="dxa"/>
          </w:tcPr>
          <w:p w14:paraId="2E62F2E3" w14:textId="77777777" w:rsidR="003D61E3" w:rsidRPr="007C2C84" w:rsidRDefault="003D61E3" w:rsidP="00A23516">
            <w:pPr>
              <w:widowControl/>
            </w:pPr>
            <w:r w:rsidRPr="007C2C84">
              <w:t xml:space="preserve">Effective: </w:t>
            </w:r>
          </w:p>
          <w:p w14:paraId="250CAFF4" w14:textId="77777777" w:rsidR="003D61E3" w:rsidRPr="007C2C84" w:rsidRDefault="003D61E3" w:rsidP="00A23516"/>
        </w:tc>
        <w:tc>
          <w:tcPr>
            <w:tcW w:w="5760" w:type="dxa"/>
          </w:tcPr>
          <w:p w14:paraId="72C6F409" w14:textId="77777777" w:rsidR="003D61E3" w:rsidRPr="007C2C84" w:rsidRDefault="003D61E3" w:rsidP="00A23516">
            <w:r w:rsidRPr="007C2C84">
              <w:t>May 1, 1968</w:t>
            </w:r>
          </w:p>
        </w:tc>
      </w:tr>
      <w:tr w:rsidR="003D61E3" w:rsidRPr="007C2C84" w14:paraId="240005AB" w14:textId="77777777" w:rsidTr="00A23516">
        <w:trPr>
          <w:cantSplit/>
          <w:trHeight w:hRule="exact" w:val="288"/>
        </w:trPr>
        <w:tc>
          <w:tcPr>
            <w:tcW w:w="3600" w:type="dxa"/>
          </w:tcPr>
          <w:p w14:paraId="1C52433A" w14:textId="77777777" w:rsidR="003D61E3" w:rsidRPr="007C2C84" w:rsidRDefault="003D61E3" w:rsidP="00A23516"/>
          <w:p w14:paraId="1AE9CD75" w14:textId="77777777" w:rsidR="003D61E3" w:rsidRPr="007C2C84" w:rsidRDefault="003D61E3" w:rsidP="00A23516"/>
        </w:tc>
        <w:tc>
          <w:tcPr>
            <w:tcW w:w="5760" w:type="dxa"/>
          </w:tcPr>
          <w:p w14:paraId="167BBCA0" w14:textId="77777777" w:rsidR="003D61E3" w:rsidRPr="007C2C84" w:rsidRDefault="003D61E3" w:rsidP="00A23516"/>
        </w:tc>
      </w:tr>
      <w:tr w:rsidR="003D61E3" w:rsidRPr="007C2C84" w14:paraId="759F3482" w14:textId="77777777" w:rsidTr="00A23516">
        <w:trPr>
          <w:cantSplit/>
          <w:trHeight w:hRule="exact" w:val="288"/>
        </w:trPr>
        <w:tc>
          <w:tcPr>
            <w:tcW w:w="3600" w:type="dxa"/>
          </w:tcPr>
          <w:p w14:paraId="2FE625CC" w14:textId="77777777" w:rsidR="003D61E3" w:rsidRPr="007C2C84" w:rsidRDefault="003D61E3" w:rsidP="00A23516">
            <w:r w:rsidRPr="007C2C84">
              <w:t xml:space="preserve">Amendments Promulgated:  </w:t>
            </w:r>
          </w:p>
        </w:tc>
        <w:tc>
          <w:tcPr>
            <w:tcW w:w="5760" w:type="dxa"/>
          </w:tcPr>
          <w:p w14:paraId="2B44D130" w14:textId="77777777" w:rsidR="003D61E3" w:rsidRPr="007C2C84" w:rsidRDefault="003D61E3" w:rsidP="00A23516">
            <w:pPr>
              <w:widowControl/>
            </w:pPr>
            <w:r w:rsidRPr="007C2C84">
              <w:t>March 12, 1976 (8 N.J.R.181(a))</w:t>
            </w:r>
          </w:p>
          <w:p w14:paraId="0A19DC42" w14:textId="77777777" w:rsidR="003D61E3" w:rsidRPr="007C2C84" w:rsidRDefault="003D61E3" w:rsidP="00A23516">
            <w:pPr>
              <w:widowControl/>
            </w:pPr>
          </w:p>
          <w:p w14:paraId="1D237DD6" w14:textId="77777777" w:rsidR="003D61E3" w:rsidRPr="007C2C84" w:rsidRDefault="003D61E3" w:rsidP="00A23516"/>
        </w:tc>
      </w:tr>
      <w:tr w:rsidR="003D61E3" w:rsidRPr="007C2C84" w14:paraId="4B9CF38B" w14:textId="77777777" w:rsidTr="00A23516">
        <w:trPr>
          <w:cantSplit/>
          <w:trHeight w:hRule="exact" w:val="288"/>
        </w:trPr>
        <w:tc>
          <w:tcPr>
            <w:tcW w:w="3600" w:type="dxa"/>
          </w:tcPr>
          <w:p w14:paraId="77AE6126" w14:textId="77777777" w:rsidR="003D61E3" w:rsidRPr="007C2C84" w:rsidRDefault="003D61E3" w:rsidP="00A23516"/>
        </w:tc>
        <w:tc>
          <w:tcPr>
            <w:tcW w:w="5760" w:type="dxa"/>
          </w:tcPr>
          <w:p w14:paraId="77D1EDCE" w14:textId="77777777" w:rsidR="003D61E3" w:rsidRPr="007C2C84" w:rsidRDefault="003D61E3" w:rsidP="00A23516">
            <w:pPr>
              <w:widowControl/>
            </w:pPr>
          </w:p>
        </w:tc>
      </w:tr>
      <w:tr w:rsidR="003D61E3" w:rsidRPr="007C2C84" w14:paraId="534A259E" w14:textId="77777777" w:rsidTr="00A23516">
        <w:trPr>
          <w:cantSplit/>
          <w:trHeight w:hRule="exact" w:val="288"/>
        </w:trPr>
        <w:tc>
          <w:tcPr>
            <w:tcW w:w="3600" w:type="dxa"/>
          </w:tcPr>
          <w:p w14:paraId="5F37F123" w14:textId="77777777" w:rsidR="003D61E3" w:rsidRPr="007C2C84" w:rsidRDefault="003D61E3" w:rsidP="00A23516">
            <w:r w:rsidRPr="007C2C84">
              <w:t>Amendments Promulgated:</w:t>
            </w:r>
          </w:p>
        </w:tc>
        <w:tc>
          <w:tcPr>
            <w:tcW w:w="5760" w:type="dxa"/>
          </w:tcPr>
          <w:p w14:paraId="002ABD29" w14:textId="77777777" w:rsidR="003D61E3" w:rsidRPr="007C2C84" w:rsidRDefault="003D61E3" w:rsidP="00A23516">
            <w:pPr>
              <w:widowControl/>
            </w:pPr>
            <w:r w:rsidRPr="007C2C84">
              <w:t>March 31, 1976 (8 N.J.R. 222(a))</w:t>
            </w:r>
          </w:p>
          <w:p w14:paraId="02A78186" w14:textId="77777777" w:rsidR="003D61E3" w:rsidRPr="007C2C84" w:rsidRDefault="003D61E3" w:rsidP="00A23516">
            <w:pPr>
              <w:widowControl/>
            </w:pPr>
          </w:p>
          <w:p w14:paraId="6F20AAEC" w14:textId="77777777" w:rsidR="003D61E3" w:rsidRPr="007C2C84" w:rsidRDefault="003D61E3" w:rsidP="00A23516">
            <w:pPr>
              <w:widowControl/>
            </w:pPr>
          </w:p>
        </w:tc>
      </w:tr>
      <w:tr w:rsidR="003D61E3" w:rsidRPr="007C2C84" w14:paraId="11631050" w14:textId="77777777" w:rsidTr="00A23516">
        <w:trPr>
          <w:cantSplit/>
          <w:trHeight w:hRule="exact" w:val="288"/>
        </w:trPr>
        <w:tc>
          <w:tcPr>
            <w:tcW w:w="3600" w:type="dxa"/>
          </w:tcPr>
          <w:p w14:paraId="5E920F2A" w14:textId="77777777" w:rsidR="003D61E3" w:rsidRPr="007C2C84" w:rsidRDefault="003D61E3" w:rsidP="00A23516"/>
        </w:tc>
        <w:tc>
          <w:tcPr>
            <w:tcW w:w="5760" w:type="dxa"/>
          </w:tcPr>
          <w:p w14:paraId="245CA643" w14:textId="77777777" w:rsidR="003D61E3" w:rsidRPr="007C2C84" w:rsidRDefault="003D61E3" w:rsidP="00A23516">
            <w:pPr>
              <w:widowControl/>
            </w:pPr>
          </w:p>
        </w:tc>
      </w:tr>
      <w:tr w:rsidR="003D61E3" w:rsidRPr="007C2C84" w14:paraId="34448578" w14:textId="77777777" w:rsidTr="00A23516">
        <w:trPr>
          <w:cantSplit/>
          <w:trHeight w:hRule="exact" w:val="288"/>
        </w:trPr>
        <w:tc>
          <w:tcPr>
            <w:tcW w:w="3600" w:type="dxa"/>
          </w:tcPr>
          <w:p w14:paraId="20759AD7" w14:textId="77777777" w:rsidR="003D61E3" w:rsidRPr="007C2C84" w:rsidRDefault="003D61E3" w:rsidP="00A23516">
            <w:r w:rsidRPr="007C2C84">
              <w:t>Amendments Promulgated:</w:t>
            </w:r>
          </w:p>
        </w:tc>
        <w:tc>
          <w:tcPr>
            <w:tcW w:w="5760" w:type="dxa"/>
          </w:tcPr>
          <w:p w14:paraId="5AC1F269" w14:textId="77777777" w:rsidR="003D61E3" w:rsidRPr="007C2C84" w:rsidRDefault="003D61E3" w:rsidP="00A23516">
            <w:pPr>
              <w:widowControl/>
            </w:pPr>
            <w:r w:rsidRPr="007C2C84">
              <w:t>August 10, 1978</w:t>
            </w:r>
          </w:p>
          <w:p w14:paraId="5D7D8AD9" w14:textId="77777777" w:rsidR="003D61E3" w:rsidRPr="007C2C84" w:rsidRDefault="003D61E3" w:rsidP="00A23516"/>
        </w:tc>
      </w:tr>
      <w:tr w:rsidR="003D61E3" w:rsidRPr="007C2C84" w14:paraId="0FBC66BD" w14:textId="77777777" w:rsidTr="00A23516">
        <w:trPr>
          <w:cantSplit/>
          <w:trHeight w:hRule="exact" w:val="288"/>
        </w:trPr>
        <w:tc>
          <w:tcPr>
            <w:tcW w:w="3600" w:type="dxa"/>
          </w:tcPr>
          <w:p w14:paraId="43C10FE1" w14:textId="77777777" w:rsidR="003D61E3" w:rsidRPr="007C2C84" w:rsidRDefault="003D61E3" w:rsidP="00A23516">
            <w:r w:rsidRPr="007C2C84">
              <w:t>Amendments Effective:</w:t>
            </w:r>
          </w:p>
        </w:tc>
        <w:tc>
          <w:tcPr>
            <w:tcW w:w="5760" w:type="dxa"/>
          </w:tcPr>
          <w:p w14:paraId="608B08EC" w14:textId="77777777" w:rsidR="003D61E3" w:rsidRPr="007C2C84" w:rsidRDefault="003D61E3" w:rsidP="00A23516">
            <w:pPr>
              <w:widowControl/>
            </w:pPr>
            <w:r w:rsidRPr="007C2C84">
              <w:t>October 12, 1978 (10 N.J.R.234(a) and</w:t>
            </w:r>
            <w:r w:rsidR="00A23516">
              <w:t xml:space="preserve"> </w:t>
            </w:r>
            <w:r w:rsidR="00A23516" w:rsidRPr="007C2C84">
              <w:t>10 N.J.R. 383(c))</w:t>
            </w:r>
          </w:p>
          <w:p w14:paraId="50E22BF0" w14:textId="77777777" w:rsidR="003D61E3" w:rsidRPr="007C2C84" w:rsidRDefault="003D61E3" w:rsidP="00A23516"/>
        </w:tc>
      </w:tr>
      <w:tr w:rsidR="003D61E3" w:rsidRPr="007C2C84" w14:paraId="6D2F0A97" w14:textId="77777777" w:rsidTr="00A23516">
        <w:trPr>
          <w:cantSplit/>
          <w:trHeight w:hRule="exact" w:val="288"/>
        </w:trPr>
        <w:tc>
          <w:tcPr>
            <w:tcW w:w="3600" w:type="dxa"/>
          </w:tcPr>
          <w:p w14:paraId="49BE1E40" w14:textId="77777777" w:rsidR="003D61E3" w:rsidRPr="007C2C84" w:rsidRDefault="003D61E3" w:rsidP="00A23516"/>
        </w:tc>
        <w:tc>
          <w:tcPr>
            <w:tcW w:w="5760" w:type="dxa"/>
          </w:tcPr>
          <w:p w14:paraId="1D9B62EE" w14:textId="77777777" w:rsidR="003D61E3" w:rsidRPr="007C2C84" w:rsidRDefault="003D61E3" w:rsidP="00A23516"/>
        </w:tc>
      </w:tr>
      <w:tr w:rsidR="003D61E3" w:rsidRPr="007C2C84" w14:paraId="00262E69" w14:textId="77777777" w:rsidTr="00A23516">
        <w:trPr>
          <w:cantSplit/>
          <w:trHeight w:hRule="exact" w:val="288"/>
        </w:trPr>
        <w:tc>
          <w:tcPr>
            <w:tcW w:w="3600" w:type="dxa"/>
          </w:tcPr>
          <w:p w14:paraId="40B643A8" w14:textId="77777777" w:rsidR="003D61E3" w:rsidRPr="007C2C84" w:rsidRDefault="003D61E3" w:rsidP="00A23516">
            <w:r w:rsidRPr="007C2C84">
              <w:t>Amendments Filed:</w:t>
            </w:r>
          </w:p>
        </w:tc>
        <w:tc>
          <w:tcPr>
            <w:tcW w:w="5760" w:type="dxa"/>
          </w:tcPr>
          <w:p w14:paraId="2B4E672A" w14:textId="77777777" w:rsidR="003D61E3" w:rsidRPr="007C2C84" w:rsidRDefault="003D61E3" w:rsidP="00A23516">
            <w:pPr>
              <w:widowControl/>
            </w:pPr>
            <w:r w:rsidRPr="007C2C84">
              <w:t>October 10, 1978</w:t>
            </w:r>
          </w:p>
          <w:p w14:paraId="79D875A5" w14:textId="77777777" w:rsidR="003D61E3" w:rsidRPr="007C2C84" w:rsidRDefault="003D61E3" w:rsidP="00A23516"/>
        </w:tc>
      </w:tr>
      <w:tr w:rsidR="003D61E3" w:rsidRPr="007C2C84" w14:paraId="6E398120" w14:textId="77777777" w:rsidTr="00A23516">
        <w:trPr>
          <w:cantSplit/>
          <w:trHeight w:hRule="exact" w:val="288"/>
        </w:trPr>
        <w:tc>
          <w:tcPr>
            <w:tcW w:w="3600" w:type="dxa"/>
          </w:tcPr>
          <w:p w14:paraId="53CF222C" w14:textId="77777777" w:rsidR="003D61E3" w:rsidRPr="007C2C84" w:rsidRDefault="003D61E3" w:rsidP="00A23516">
            <w:r w:rsidRPr="007C2C84">
              <w:t>Changing Effective Date to:</w:t>
            </w:r>
          </w:p>
        </w:tc>
        <w:tc>
          <w:tcPr>
            <w:tcW w:w="5760" w:type="dxa"/>
          </w:tcPr>
          <w:p w14:paraId="4C5EDC62" w14:textId="77777777" w:rsidR="003D61E3" w:rsidRPr="007C2C84" w:rsidRDefault="003D61E3" w:rsidP="00A23516">
            <w:r w:rsidRPr="007C2C84">
              <w:t>December 31, 1978 (10 N.J.R. 479(c))</w:t>
            </w:r>
          </w:p>
        </w:tc>
      </w:tr>
      <w:tr w:rsidR="003D61E3" w:rsidRPr="007C2C84" w14:paraId="7BB66E2D" w14:textId="77777777" w:rsidTr="00A23516">
        <w:trPr>
          <w:cantSplit/>
          <w:trHeight w:hRule="exact" w:val="288"/>
        </w:trPr>
        <w:tc>
          <w:tcPr>
            <w:tcW w:w="3600" w:type="dxa"/>
          </w:tcPr>
          <w:p w14:paraId="2F1BAD8D" w14:textId="77777777" w:rsidR="003D61E3" w:rsidRPr="007C2C84" w:rsidRDefault="003D61E3" w:rsidP="00A23516"/>
        </w:tc>
        <w:tc>
          <w:tcPr>
            <w:tcW w:w="5760" w:type="dxa"/>
          </w:tcPr>
          <w:p w14:paraId="53DDB6B0" w14:textId="77777777" w:rsidR="003D61E3" w:rsidRPr="007C2C84" w:rsidRDefault="003D61E3" w:rsidP="00A23516"/>
        </w:tc>
      </w:tr>
      <w:tr w:rsidR="003D61E3" w:rsidRPr="007C2C84" w14:paraId="3C79F6FC" w14:textId="77777777" w:rsidTr="00A23516">
        <w:trPr>
          <w:cantSplit/>
          <w:trHeight w:hRule="exact" w:val="288"/>
        </w:trPr>
        <w:tc>
          <w:tcPr>
            <w:tcW w:w="3600" w:type="dxa"/>
          </w:tcPr>
          <w:p w14:paraId="20ADB84C" w14:textId="77777777" w:rsidR="003D61E3" w:rsidRPr="007C2C84" w:rsidRDefault="003D61E3" w:rsidP="00A23516">
            <w:r w:rsidRPr="007C2C84">
              <w:t>Amendments Filed and Effective:</w:t>
            </w:r>
          </w:p>
        </w:tc>
        <w:tc>
          <w:tcPr>
            <w:tcW w:w="5760" w:type="dxa"/>
          </w:tcPr>
          <w:p w14:paraId="43841081" w14:textId="77777777" w:rsidR="003D61E3" w:rsidRPr="007C2C84" w:rsidRDefault="003D61E3" w:rsidP="00A23516">
            <w:pPr>
              <w:widowControl/>
            </w:pPr>
            <w:r w:rsidRPr="007C2C84">
              <w:t>January 10, 1979</w:t>
            </w:r>
          </w:p>
        </w:tc>
      </w:tr>
      <w:tr w:rsidR="003D61E3" w:rsidRPr="007C2C84" w14:paraId="5E33903B" w14:textId="77777777" w:rsidTr="00A23516">
        <w:trPr>
          <w:cantSplit/>
          <w:trHeight w:hRule="exact" w:val="288"/>
        </w:trPr>
        <w:tc>
          <w:tcPr>
            <w:tcW w:w="3600" w:type="dxa"/>
          </w:tcPr>
          <w:p w14:paraId="2E04FE62" w14:textId="77777777" w:rsidR="003D61E3" w:rsidRPr="007C2C84" w:rsidRDefault="003D61E3" w:rsidP="00A23516">
            <w:r w:rsidRPr="007C2C84">
              <w:t>Changing Effective Date to:</w:t>
            </w:r>
          </w:p>
        </w:tc>
        <w:tc>
          <w:tcPr>
            <w:tcW w:w="5760" w:type="dxa"/>
          </w:tcPr>
          <w:p w14:paraId="109FD178" w14:textId="77777777" w:rsidR="003D61E3" w:rsidRPr="007C2C84" w:rsidRDefault="003D61E3" w:rsidP="00A23516">
            <w:pPr>
              <w:widowControl/>
            </w:pPr>
            <w:r w:rsidRPr="007C2C84">
              <w:t>July 12, 1979 (11 NJR 63(c))</w:t>
            </w:r>
          </w:p>
        </w:tc>
      </w:tr>
      <w:tr w:rsidR="003D61E3" w:rsidRPr="007C2C84" w14:paraId="70D9D7FD" w14:textId="77777777" w:rsidTr="00A23516">
        <w:trPr>
          <w:cantSplit/>
          <w:trHeight w:hRule="exact" w:val="288"/>
        </w:trPr>
        <w:tc>
          <w:tcPr>
            <w:tcW w:w="3600" w:type="dxa"/>
          </w:tcPr>
          <w:p w14:paraId="7B3104A4" w14:textId="77777777" w:rsidR="003D61E3" w:rsidRPr="007C2C84" w:rsidRDefault="003D61E3" w:rsidP="00A23516"/>
        </w:tc>
        <w:tc>
          <w:tcPr>
            <w:tcW w:w="5760" w:type="dxa"/>
          </w:tcPr>
          <w:p w14:paraId="228C0649" w14:textId="77777777" w:rsidR="003D61E3" w:rsidRPr="007C2C84" w:rsidRDefault="003D61E3" w:rsidP="00A23516">
            <w:pPr>
              <w:widowControl/>
            </w:pPr>
          </w:p>
        </w:tc>
      </w:tr>
      <w:tr w:rsidR="003D61E3" w:rsidRPr="007C2C84" w14:paraId="7BD95A0D" w14:textId="77777777" w:rsidTr="00A23516">
        <w:trPr>
          <w:cantSplit/>
          <w:trHeight w:hRule="exact" w:val="288"/>
        </w:trPr>
        <w:tc>
          <w:tcPr>
            <w:tcW w:w="3600" w:type="dxa"/>
          </w:tcPr>
          <w:p w14:paraId="703FEAF6" w14:textId="77777777" w:rsidR="003D61E3" w:rsidRPr="007C2C84" w:rsidRDefault="003D61E3" w:rsidP="00A23516">
            <w:r w:rsidRPr="007C2C84">
              <w:t>Amendments Effective:</w:t>
            </w:r>
          </w:p>
        </w:tc>
        <w:tc>
          <w:tcPr>
            <w:tcW w:w="5760" w:type="dxa"/>
          </w:tcPr>
          <w:p w14:paraId="5F25C87D" w14:textId="77777777" w:rsidR="003D61E3" w:rsidRPr="007C2C84" w:rsidRDefault="003D61E3" w:rsidP="00A23516">
            <w:pPr>
              <w:widowControl/>
            </w:pPr>
            <w:r w:rsidRPr="007C2C84">
              <w:t>December 6, 1982</w:t>
            </w:r>
          </w:p>
          <w:p w14:paraId="47895D9E" w14:textId="77777777" w:rsidR="003D61E3" w:rsidRPr="007C2C84" w:rsidRDefault="003D61E3" w:rsidP="00A23516"/>
        </w:tc>
      </w:tr>
      <w:tr w:rsidR="003D61E3" w:rsidRPr="007C2C84" w14:paraId="255580FA" w14:textId="77777777" w:rsidTr="00A23516">
        <w:trPr>
          <w:cantSplit/>
          <w:trHeight w:hRule="exact" w:val="576"/>
        </w:trPr>
        <w:tc>
          <w:tcPr>
            <w:tcW w:w="3600" w:type="dxa"/>
          </w:tcPr>
          <w:p w14:paraId="5C6094E4" w14:textId="77777777" w:rsidR="003D61E3" w:rsidRPr="007C2C84" w:rsidRDefault="003D61E3" w:rsidP="00A23516">
            <w:pPr>
              <w:widowControl/>
            </w:pPr>
            <w:r w:rsidRPr="007C2C84">
              <w:t>Amendments Operative:</w:t>
            </w:r>
          </w:p>
          <w:p w14:paraId="003CC586" w14:textId="77777777" w:rsidR="003D61E3" w:rsidRPr="007C2C84" w:rsidRDefault="003D61E3" w:rsidP="00A23516"/>
        </w:tc>
        <w:tc>
          <w:tcPr>
            <w:tcW w:w="5760" w:type="dxa"/>
          </w:tcPr>
          <w:p w14:paraId="36725F3A" w14:textId="77777777" w:rsidR="003D61E3" w:rsidRDefault="003D61E3" w:rsidP="00A23516">
            <w:pPr>
              <w:widowControl/>
            </w:pPr>
            <w:r w:rsidRPr="007C2C84">
              <w:t>February 4, 1983 (13 N.J.R. 870(a) and</w:t>
            </w:r>
            <w:r w:rsidR="00A23516">
              <w:t xml:space="preserve"> </w:t>
            </w:r>
            <w:r w:rsidR="00A23516" w:rsidRPr="007C2C84">
              <w:t>13 N.J.R.14 N.J.R.1452(a))</w:t>
            </w:r>
          </w:p>
          <w:p w14:paraId="5CBBFABA" w14:textId="77777777" w:rsidR="00A23516" w:rsidRPr="007C2C84" w:rsidRDefault="00A23516" w:rsidP="00A23516">
            <w:pPr>
              <w:widowControl/>
            </w:pPr>
          </w:p>
          <w:p w14:paraId="328EA4D0" w14:textId="77777777" w:rsidR="003D61E3" w:rsidRPr="007C2C84" w:rsidRDefault="003D61E3" w:rsidP="00A23516"/>
        </w:tc>
      </w:tr>
      <w:tr w:rsidR="003D61E3" w:rsidRPr="007C2C84" w14:paraId="01689084" w14:textId="77777777" w:rsidTr="00A23516">
        <w:trPr>
          <w:cantSplit/>
          <w:trHeight w:hRule="exact" w:val="288"/>
        </w:trPr>
        <w:tc>
          <w:tcPr>
            <w:tcW w:w="3600" w:type="dxa"/>
          </w:tcPr>
          <w:p w14:paraId="5C41C040" w14:textId="77777777" w:rsidR="003D61E3" w:rsidRPr="007C2C84" w:rsidRDefault="003D61E3" w:rsidP="00A23516"/>
        </w:tc>
        <w:tc>
          <w:tcPr>
            <w:tcW w:w="5760" w:type="dxa"/>
          </w:tcPr>
          <w:p w14:paraId="61793163" w14:textId="77777777" w:rsidR="003D61E3" w:rsidRPr="007C2C84" w:rsidRDefault="003D61E3" w:rsidP="00A23516">
            <w:pPr>
              <w:widowControl/>
            </w:pPr>
          </w:p>
        </w:tc>
      </w:tr>
      <w:tr w:rsidR="003D61E3" w:rsidRPr="007C2C84" w14:paraId="090A194C" w14:textId="77777777" w:rsidTr="00A23516">
        <w:trPr>
          <w:cantSplit/>
          <w:trHeight w:hRule="exact" w:val="288"/>
        </w:trPr>
        <w:tc>
          <w:tcPr>
            <w:tcW w:w="3600" w:type="dxa"/>
          </w:tcPr>
          <w:p w14:paraId="237CBA7F" w14:textId="77777777" w:rsidR="003D61E3" w:rsidRPr="007C2C84" w:rsidRDefault="003D61E3" w:rsidP="00A23516">
            <w:r w:rsidRPr="007C2C84">
              <w:t>Administrative Corrections:</w:t>
            </w:r>
          </w:p>
        </w:tc>
        <w:tc>
          <w:tcPr>
            <w:tcW w:w="5760" w:type="dxa"/>
          </w:tcPr>
          <w:p w14:paraId="030B69DE" w14:textId="77777777" w:rsidR="003D61E3" w:rsidRPr="007C2C84" w:rsidRDefault="003D61E3" w:rsidP="00A23516">
            <w:pPr>
              <w:widowControl/>
            </w:pPr>
            <w:r w:rsidRPr="007C2C84">
              <w:t>April 15, 1991 (23 N.J.R.1166(b))</w:t>
            </w:r>
          </w:p>
          <w:p w14:paraId="67E90C73" w14:textId="77777777" w:rsidR="003D61E3" w:rsidRPr="007C2C84" w:rsidRDefault="003D61E3" w:rsidP="00A23516">
            <w:pPr>
              <w:widowControl/>
            </w:pPr>
          </w:p>
          <w:p w14:paraId="728F9312" w14:textId="77777777" w:rsidR="003D61E3" w:rsidRPr="007C2C84" w:rsidRDefault="003D61E3" w:rsidP="00A23516">
            <w:pPr>
              <w:widowControl/>
            </w:pPr>
          </w:p>
        </w:tc>
      </w:tr>
      <w:tr w:rsidR="003D61E3" w:rsidRPr="007C2C84" w14:paraId="37FC97D6" w14:textId="77777777" w:rsidTr="00A23516">
        <w:trPr>
          <w:cantSplit/>
          <w:trHeight w:hRule="exact" w:val="288"/>
        </w:trPr>
        <w:tc>
          <w:tcPr>
            <w:tcW w:w="3600" w:type="dxa"/>
          </w:tcPr>
          <w:p w14:paraId="6379208B" w14:textId="77777777" w:rsidR="003D61E3" w:rsidRPr="007C2C84" w:rsidRDefault="003D61E3" w:rsidP="00A23516">
            <w:r w:rsidRPr="007C2C84">
              <w:t>See:</w:t>
            </w:r>
          </w:p>
        </w:tc>
        <w:tc>
          <w:tcPr>
            <w:tcW w:w="5760" w:type="dxa"/>
          </w:tcPr>
          <w:p w14:paraId="38E26D95" w14:textId="77777777" w:rsidR="003D61E3" w:rsidRPr="007C2C84" w:rsidRDefault="003D61E3" w:rsidP="00A23516">
            <w:pPr>
              <w:widowControl/>
            </w:pPr>
            <w:r w:rsidRPr="007C2C84">
              <w:t>May 6, 1991 (23 N.J.R.1432(d))</w:t>
            </w:r>
          </w:p>
          <w:p w14:paraId="6192B4FC" w14:textId="77777777" w:rsidR="003D61E3" w:rsidRPr="007C2C84" w:rsidRDefault="003D61E3" w:rsidP="00A23516">
            <w:pPr>
              <w:widowControl/>
            </w:pPr>
            <w:r w:rsidRPr="007C2C84">
              <w:t>)</w:t>
            </w:r>
          </w:p>
          <w:p w14:paraId="543608CE" w14:textId="77777777" w:rsidR="003D61E3" w:rsidRPr="007C2C84" w:rsidRDefault="003D61E3" w:rsidP="00A23516">
            <w:pPr>
              <w:widowControl/>
            </w:pPr>
          </w:p>
        </w:tc>
      </w:tr>
      <w:tr w:rsidR="003D61E3" w:rsidRPr="007C2C84" w14:paraId="510D8F20" w14:textId="77777777" w:rsidTr="00A23516">
        <w:trPr>
          <w:cantSplit/>
          <w:trHeight w:hRule="exact" w:val="288"/>
        </w:trPr>
        <w:tc>
          <w:tcPr>
            <w:tcW w:w="3600" w:type="dxa"/>
          </w:tcPr>
          <w:p w14:paraId="7059ADC7" w14:textId="77777777" w:rsidR="003D61E3" w:rsidRPr="007C2C84" w:rsidRDefault="003D61E3" w:rsidP="00A23516"/>
        </w:tc>
        <w:tc>
          <w:tcPr>
            <w:tcW w:w="5760" w:type="dxa"/>
          </w:tcPr>
          <w:p w14:paraId="3B6C9E9C" w14:textId="77777777" w:rsidR="003D61E3" w:rsidRPr="007C2C84" w:rsidRDefault="003D61E3" w:rsidP="00A23516">
            <w:pPr>
              <w:widowControl/>
            </w:pPr>
          </w:p>
        </w:tc>
      </w:tr>
      <w:tr w:rsidR="003D61E3" w:rsidRPr="007C2C84" w14:paraId="6025E10A" w14:textId="77777777" w:rsidTr="00A23516">
        <w:trPr>
          <w:cantSplit/>
          <w:trHeight w:hRule="exact" w:val="288"/>
        </w:trPr>
        <w:tc>
          <w:tcPr>
            <w:tcW w:w="3600" w:type="dxa"/>
          </w:tcPr>
          <w:p w14:paraId="1038B145" w14:textId="77777777" w:rsidR="003D61E3" w:rsidRPr="007C2C84" w:rsidRDefault="003D61E3" w:rsidP="00A23516">
            <w:pPr>
              <w:widowControl/>
            </w:pPr>
            <w:r w:rsidRPr="007C2C84">
              <w:t>Amendments Effective:</w:t>
            </w:r>
          </w:p>
          <w:p w14:paraId="69F55418" w14:textId="77777777" w:rsidR="003D61E3" w:rsidRPr="007C2C84" w:rsidRDefault="003D61E3" w:rsidP="00A23516"/>
        </w:tc>
        <w:tc>
          <w:tcPr>
            <w:tcW w:w="5760" w:type="dxa"/>
          </w:tcPr>
          <w:p w14:paraId="03A8071F" w14:textId="77777777" w:rsidR="003D61E3" w:rsidRPr="007C2C84" w:rsidRDefault="003D61E3" w:rsidP="00A23516">
            <w:r w:rsidRPr="007C2C84">
              <w:t>May 4, 1998</w:t>
            </w:r>
          </w:p>
        </w:tc>
      </w:tr>
      <w:tr w:rsidR="003D61E3" w:rsidRPr="007C2C84" w14:paraId="4ABFE63C" w14:textId="77777777" w:rsidTr="00A23516">
        <w:trPr>
          <w:cantSplit/>
          <w:trHeight w:hRule="exact" w:val="288"/>
        </w:trPr>
        <w:tc>
          <w:tcPr>
            <w:tcW w:w="3600" w:type="dxa"/>
          </w:tcPr>
          <w:p w14:paraId="28371FFD" w14:textId="77777777" w:rsidR="003D61E3" w:rsidRPr="007C2C84" w:rsidRDefault="003D61E3" w:rsidP="00A23516">
            <w:r w:rsidRPr="007C2C84">
              <w:t>Amendments Operative:</w:t>
            </w:r>
          </w:p>
        </w:tc>
        <w:tc>
          <w:tcPr>
            <w:tcW w:w="5760" w:type="dxa"/>
          </w:tcPr>
          <w:p w14:paraId="65D30134" w14:textId="77777777" w:rsidR="003D61E3" w:rsidRPr="007C2C84" w:rsidRDefault="003D61E3" w:rsidP="00A23516">
            <w:r w:rsidRPr="007C2C84">
              <w:t>June 12, 1998 (29 N.J.R.3521(a) and</w:t>
            </w:r>
            <w:r w:rsidR="002B249B">
              <w:t xml:space="preserve"> </w:t>
            </w:r>
            <w:r w:rsidR="002B249B" w:rsidRPr="007C2C84">
              <w:t>30 N.J.R.1563(b))</w:t>
            </w:r>
          </w:p>
          <w:p w14:paraId="6AE20EFD" w14:textId="77777777" w:rsidR="003D61E3" w:rsidRPr="007C2C84" w:rsidRDefault="003D61E3" w:rsidP="00A23516"/>
          <w:p w14:paraId="7D65FDB6" w14:textId="77777777" w:rsidR="003D61E3" w:rsidRPr="007C2C84" w:rsidRDefault="003D61E3" w:rsidP="00A23516"/>
          <w:p w14:paraId="4CC32E6B" w14:textId="77777777" w:rsidR="003D61E3" w:rsidRPr="007C2C84" w:rsidRDefault="003D61E3" w:rsidP="00A23516"/>
          <w:p w14:paraId="76D8B016" w14:textId="77777777" w:rsidR="003D61E3" w:rsidRPr="007C2C84" w:rsidRDefault="003D61E3" w:rsidP="00A23516"/>
          <w:p w14:paraId="71E82770" w14:textId="77777777" w:rsidR="003D61E3" w:rsidRPr="007C2C84" w:rsidRDefault="003D61E3" w:rsidP="00A23516"/>
          <w:p w14:paraId="723DDFCE" w14:textId="77777777" w:rsidR="003D61E3" w:rsidRPr="007C2C84" w:rsidRDefault="003D61E3" w:rsidP="00A23516"/>
        </w:tc>
      </w:tr>
      <w:tr w:rsidR="003D61E3" w:rsidRPr="007C2C84" w14:paraId="21BA6B0B" w14:textId="77777777" w:rsidTr="00A23516">
        <w:trPr>
          <w:cantSplit/>
          <w:trHeight w:hRule="exact" w:val="288"/>
        </w:trPr>
        <w:tc>
          <w:tcPr>
            <w:tcW w:w="3600" w:type="dxa"/>
          </w:tcPr>
          <w:p w14:paraId="3EF06423" w14:textId="77777777" w:rsidR="003D61E3" w:rsidRPr="007C2C84" w:rsidRDefault="003D61E3" w:rsidP="00A23516"/>
        </w:tc>
        <w:tc>
          <w:tcPr>
            <w:tcW w:w="5760" w:type="dxa"/>
          </w:tcPr>
          <w:p w14:paraId="273E727A" w14:textId="77777777" w:rsidR="003D61E3" w:rsidRPr="007C2C84" w:rsidRDefault="003D61E3" w:rsidP="00A23516"/>
        </w:tc>
      </w:tr>
      <w:tr w:rsidR="003D61E3" w:rsidRPr="007C2C84" w14:paraId="37F16213" w14:textId="77777777" w:rsidTr="00A23516">
        <w:trPr>
          <w:cantSplit/>
          <w:trHeight w:hRule="exact" w:val="288"/>
        </w:trPr>
        <w:tc>
          <w:tcPr>
            <w:tcW w:w="3600" w:type="dxa"/>
          </w:tcPr>
          <w:p w14:paraId="07A94BBB" w14:textId="77777777" w:rsidR="003D61E3" w:rsidRPr="007C2C84" w:rsidRDefault="003D61E3" w:rsidP="00A23516">
            <w:r w:rsidRPr="007C2C84">
              <w:t>Emergency Amendments Effective:</w:t>
            </w:r>
          </w:p>
        </w:tc>
        <w:tc>
          <w:tcPr>
            <w:tcW w:w="5760" w:type="dxa"/>
          </w:tcPr>
          <w:p w14:paraId="04CB0A65" w14:textId="77777777" w:rsidR="003D61E3" w:rsidRPr="007C2C84" w:rsidRDefault="003D61E3" w:rsidP="00A23516">
            <w:pPr>
              <w:widowControl/>
            </w:pPr>
            <w:r w:rsidRPr="007C2C84">
              <w:t>February 16, 2000</w:t>
            </w:r>
          </w:p>
          <w:p w14:paraId="7C5A86C6" w14:textId="77777777" w:rsidR="003D61E3" w:rsidRPr="007C2C84" w:rsidRDefault="003D61E3" w:rsidP="00A23516"/>
        </w:tc>
      </w:tr>
      <w:tr w:rsidR="003D61E3" w:rsidRPr="007C2C84" w14:paraId="2A342DA6" w14:textId="77777777" w:rsidTr="002B249B">
        <w:trPr>
          <w:cantSplit/>
          <w:trHeight w:hRule="exact" w:val="306"/>
        </w:trPr>
        <w:tc>
          <w:tcPr>
            <w:tcW w:w="3600" w:type="dxa"/>
          </w:tcPr>
          <w:p w14:paraId="424C4E64" w14:textId="77777777" w:rsidR="003D61E3" w:rsidRPr="007C2C84" w:rsidRDefault="003D61E3" w:rsidP="002B249B">
            <w:r w:rsidRPr="007C2C84">
              <w:t>Emergency Amendments Expired:</w:t>
            </w:r>
          </w:p>
        </w:tc>
        <w:tc>
          <w:tcPr>
            <w:tcW w:w="5760" w:type="dxa"/>
          </w:tcPr>
          <w:p w14:paraId="046823DB" w14:textId="77777777" w:rsidR="003D61E3" w:rsidRPr="007C2C84" w:rsidRDefault="003D61E3" w:rsidP="002B249B">
            <w:pPr>
              <w:widowControl/>
            </w:pPr>
            <w:r w:rsidRPr="007C2C84">
              <w:t>April 16, 2000 (32 N.J.R.836(a))</w:t>
            </w:r>
          </w:p>
        </w:tc>
      </w:tr>
      <w:tr w:rsidR="003D61E3" w:rsidRPr="007C2C84" w14:paraId="1883EFA7" w14:textId="77777777" w:rsidTr="00A23516">
        <w:trPr>
          <w:cantSplit/>
          <w:trHeight w:hRule="exact" w:val="288"/>
        </w:trPr>
        <w:tc>
          <w:tcPr>
            <w:tcW w:w="3600" w:type="dxa"/>
          </w:tcPr>
          <w:p w14:paraId="2EC80FC6" w14:textId="77777777" w:rsidR="003D61E3" w:rsidRPr="007C2C84" w:rsidRDefault="003D61E3" w:rsidP="00A23516">
            <w:pPr>
              <w:widowControl/>
            </w:pPr>
          </w:p>
          <w:p w14:paraId="4C11E9EF" w14:textId="77777777" w:rsidR="003D61E3" w:rsidRPr="007C2C84" w:rsidRDefault="003D61E3" w:rsidP="00A23516">
            <w:pPr>
              <w:widowControl/>
            </w:pPr>
          </w:p>
          <w:p w14:paraId="664848D8" w14:textId="77777777" w:rsidR="003D61E3" w:rsidRPr="007C2C84" w:rsidRDefault="003D61E3" w:rsidP="00A23516">
            <w:pPr>
              <w:widowControl/>
            </w:pPr>
          </w:p>
          <w:p w14:paraId="7E1F6A32" w14:textId="77777777" w:rsidR="003D61E3" w:rsidRPr="007C2C84" w:rsidRDefault="003D61E3" w:rsidP="00A23516">
            <w:pPr>
              <w:widowControl/>
            </w:pPr>
          </w:p>
          <w:p w14:paraId="1639F74E" w14:textId="77777777" w:rsidR="003D61E3" w:rsidRPr="007C2C84" w:rsidRDefault="003D61E3" w:rsidP="00A23516"/>
        </w:tc>
        <w:tc>
          <w:tcPr>
            <w:tcW w:w="5760" w:type="dxa"/>
          </w:tcPr>
          <w:p w14:paraId="48D1179E" w14:textId="77777777" w:rsidR="003D61E3" w:rsidRPr="007C2C84" w:rsidRDefault="003D61E3" w:rsidP="00A23516">
            <w:pPr>
              <w:widowControl/>
            </w:pPr>
          </w:p>
        </w:tc>
      </w:tr>
      <w:tr w:rsidR="002B249B" w:rsidRPr="007C2C84" w14:paraId="7C236315" w14:textId="77777777" w:rsidTr="00A23516">
        <w:trPr>
          <w:cantSplit/>
          <w:trHeight w:hRule="exact" w:val="288"/>
        </w:trPr>
        <w:tc>
          <w:tcPr>
            <w:tcW w:w="3600" w:type="dxa"/>
          </w:tcPr>
          <w:p w14:paraId="188D98AF" w14:textId="77777777" w:rsidR="002B249B" w:rsidRPr="007C2C84" w:rsidRDefault="002B249B" w:rsidP="00A23516">
            <w:pPr>
              <w:widowControl/>
            </w:pPr>
            <w:r w:rsidRPr="007C2C84">
              <w:t>Amendments Effective:</w:t>
            </w:r>
          </w:p>
        </w:tc>
        <w:tc>
          <w:tcPr>
            <w:tcW w:w="5760" w:type="dxa"/>
          </w:tcPr>
          <w:p w14:paraId="0B274233" w14:textId="77777777" w:rsidR="002B249B" w:rsidRPr="007C2C84" w:rsidRDefault="002B249B" w:rsidP="00A23516">
            <w:pPr>
              <w:widowControl/>
            </w:pPr>
            <w:r w:rsidRPr="007C2C84">
              <w:t>September 20, 2010</w:t>
            </w:r>
          </w:p>
        </w:tc>
      </w:tr>
      <w:tr w:rsidR="002B249B" w:rsidRPr="007C2C84" w14:paraId="6DBECBAA" w14:textId="77777777" w:rsidTr="00A23516">
        <w:trPr>
          <w:cantSplit/>
          <w:trHeight w:hRule="exact" w:val="288"/>
        </w:trPr>
        <w:tc>
          <w:tcPr>
            <w:tcW w:w="3600" w:type="dxa"/>
          </w:tcPr>
          <w:p w14:paraId="749D248C" w14:textId="77777777" w:rsidR="002B249B" w:rsidRPr="007C2C84" w:rsidRDefault="002B249B" w:rsidP="00A23516">
            <w:pPr>
              <w:widowControl/>
            </w:pPr>
            <w:r w:rsidRPr="007C2C84">
              <w:t>Amendments Operative:</w:t>
            </w:r>
          </w:p>
        </w:tc>
        <w:tc>
          <w:tcPr>
            <w:tcW w:w="5760" w:type="dxa"/>
          </w:tcPr>
          <w:p w14:paraId="4B8FFBE1" w14:textId="77777777" w:rsidR="002B249B" w:rsidRPr="007C2C84" w:rsidRDefault="002B249B" w:rsidP="00A23516">
            <w:pPr>
              <w:widowControl/>
            </w:pPr>
            <w:r w:rsidRPr="007C2C84">
              <w:t>October 25, 2010 (42 N.J.R. 2244)</w:t>
            </w:r>
          </w:p>
        </w:tc>
      </w:tr>
      <w:tr w:rsidR="002B249B" w:rsidRPr="007C2C84" w14:paraId="137ABC3F" w14:textId="77777777" w:rsidTr="00A23516">
        <w:trPr>
          <w:cantSplit/>
          <w:trHeight w:hRule="exact" w:val="288"/>
        </w:trPr>
        <w:tc>
          <w:tcPr>
            <w:tcW w:w="3600" w:type="dxa"/>
          </w:tcPr>
          <w:p w14:paraId="4B982C4C" w14:textId="77777777" w:rsidR="002B249B" w:rsidRPr="007C2C84" w:rsidRDefault="002B249B" w:rsidP="00A23516">
            <w:pPr>
              <w:widowControl/>
            </w:pPr>
          </w:p>
        </w:tc>
        <w:tc>
          <w:tcPr>
            <w:tcW w:w="5760" w:type="dxa"/>
          </w:tcPr>
          <w:p w14:paraId="27E83D0C" w14:textId="77777777" w:rsidR="002B249B" w:rsidRPr="007C2C84" w:rsidRDefault="002B249B" w:rsidP="00A23516">
            <w:pPr>
              <w:widowControl/>
            </w:pPr>
          </w:p>
        </w:tc>
      </w:tr>
    </w:tbl>
    <w:p w14:paraId="669469EB" w14:textId="77777777" w:rsidR="003D61E3" w:rsidRPr="007C2C84" w:rsidRDefault="003D61E3" w:rsidP="00155749">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6B03C94" w14:textId="77777777" w:rsidR="008F448F" w:rsidRPr="00CC5500" w:rsidRDefault="008F448F" w:rsidP="00A23516">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1" w:name="_Toc227396871"/>
    </w:p>
    <w:p w14:paraId="1210DC4D" w14:textId="77777777" w:rsidR="003D61E3" w:rsidRPr="007C2C84" w:rsidRDefault="00A23516" w:rsidP="00155749">
      <w:pPr>
        <w:pStyle w:val="Heading1"/>
        <w:spacing w:before="0" w:after="0"/>
        <w:rPr>
          <w:rFonts w:ascii="Times New Roman" w:hAnsi="Times New Roman" w:cs="Times New Roman"/>
          <w:b w:val="0"/>
          <w:kern w:val="0"/>
          <w:sz w:val="24"/>
          <w:szCs w:val="24"/>
        </w:rPr>
      </w:pPr>
      <w:r>
        <w:rPr>
          <w:rFonts w:ascii="Times New Roman" w:hAnsi="Times New Roman" w:cs="Times New Roman"/>
          <w:sz w:val="24"/>
          <w:szCs w:val="24"/>
        </w:rPr>
        <w:br w:type="page"/>
      </w:r>
      <w:r w:rsidR="003D61E3" w:rsidRPr="007C2C84">
        <w:rPr>
          <w:rFonts w:ascii="Times New Roman" w:hAnsi="Times New Roman" w:cs="Times New Roman"/>
          <w:sz w:val="24"/>
          <w:szCs w:val="24"/>
        </w:rPr>
        <w:lastRenderedPageBreak/>
        <w:t>7:27-9.1</w:t>
      </w:r>
      <w:r w:rsidR="003D61E3" w:rsidRPr="007C2C84">
        <w:rPr>
          <w:rFonts w:ascii="Times New Roman" w:hAnsi="Times New Roman" w:cs="Times New Roman"/>
          <w:sz w:val="24"/>
          <w:szCs w:val="24"/>
        </w:rPr>
        <w:tab/>
        <w:t>Definitions</w:t>
      </w:r>
      <w:bookmarkEnd w:id="1"/>
      <w:r w:rsidR="003D61E3" w:rsidRPr="007C2C84">
        <w:rPr>
          <w:rFonts w:ascii="Times New Roman" w:hAnsi="Times New Roman" w:cs="Times New Roman"/>
          <w:b w:val="0"/>
          <w:kern w:val="0"/>
          <w:sz w:val="24"/>
          <w:szCs w:val="24"/>
        </w:rPr>
        <w:fldChar w:fldCharType="begin"/>
      </w:r>
      <w:r w:rsidR="003D61E3" w:rsidRPr="007C2C84">
        <w:rPr>
          <w:rFonts w:ascii="Times New Roman" w:hAnsi="Times New Roman" w:cs="Times New Roman"/>
          <w:b w:val="0"/>
          <w:kern w:val="0"/>
          <w:sz w:val="24"/>
          <w:szCs w:val="24"/>
        </w:rPr>
        <w:instrText>tc \l1 "7:27-9.1</w:instrText>
      </w:r>
      <w:r w:rsidR="003D61E3" w:rsidRPr="007C2C84">
        <w:rPr>
          <w:rFonts w:ascii="Times New Roman" w:hAnsi="Times New Roman" w:cs="Times New Roman"/>
          <w:b w:val="0"/>
          <w:kern w:val="0"/>
          <w:sz w:val="24"/>
          <w:szCs w:val="24"/>
        </w:rPr>
        <w:tab/>
        <w:instrText>Definitions</w:instrText>
      </w:r>
      <w:r w:rsidR="003D61E3" w:rsidRPr="007C2C84">
        <w:rPr>
          <w:rFonts w:ascii="Times New Roman" w:hAnsi="Times New Roman" w:cs="Times New Roman"/>
          <w:b w:val="0"/>
          <w:kern w:val="0"/>
          <w:sz w:val="24"/>
          <w:szCs w:val="24"/>
        </w:rPr>
        <w:fldChar w:fldCharType="end"/>
      </w:r>
    </w:p>
    <w:p w14:paraId="2BE023FB" w14:textId="77777777" w:rsidR="003D61E3" w:rsidRPr="007C2C84" w:rsidRDefault="003D61E3" w:rsidP="00155749">
      <w:pPr>
        <w:jc w:val="both"/>
      </w:pPr>
    </w:p>
    <w:p w14:paraId="50D11BE4" w14:textId="77777777" w:rsidR="00A6166B" w:rsidRDefault="007C2C84" w:rsidP="00155749">
      <w:pPr>
        <w:pStyle w:val="NoSpacing"/>
        <w:ind w:firstLine="720"/>
      </w:pPr>
      <w:r w:rsidRPr="007C2C84">
        <w:t>The following words and terms, when used in this subchapter, shall have the following meanings unless the context clearly indicates otherwise.</w:t>
      </w:r>
    </w:p>
    <w:p w14:paraId="0127CD27" w14:textId="77777777" w:rsidR="00A6166B" w:rsidRDefault="00A6166B" w:rsidP="00155749">
      <w:pPr>
        <w:pStyle w:val="NoSpacing"/>
        <w:ind w:firstLine="720"/>
      </w:pPr>
    </w:p>
    <w:p w14:paraId="6EF6040B" w14:textId="77777777" w:rsidR="00A6166B" w:rsidRDefault="00155749" w:rsidP="00155749">
      <w:pPr>
        <w:pStyle w:val="NoSpacing"/>
        <w:ind w:firstLine="720"/>
      </w:pPr>
      <w:r w:rsidRPr="00155749">
        <w:rPr>
          <w:b/>
        </w:rPr>
        <w:t>“</w:t>
      </w:r>
      <w:r w:rsidR="007C2C84" w:rsidRPr="00155749">
        <w:rPr>
          <w:b/>
        </w:rPr>
        <w:t>Aerodynamic downwash</w:t>
      </w:r>
      <w:r w:rsidRPr="00155749">
        <w:rPr>
          <w:b/>
        </w:rPr>
        <w:t>”</w:t>
      </w:r>
      <w:r w:rsidR="007C2C84" w:rsidRPr="007C2C84">
        <w:t xml:space="preserve"> means the rapid descent of a plume to ground level with little dilution and dispersion as a result of alteration of background air flow characteristics caused by the presence of buildings or other obstacles in the vicinity of the emission point.</w:t>
      </w:r>
    </w:p>
    <w:p w14:paraId="6F0600A5" w14:textId="77777777" w:rsidR="00A6166B" w:rsidRDefault="00A6166B" w:rsidP="00155749">
      <w:pPr>
        <w:pStyle w:val="NoSpacing"/>
        <w:ind w:firstLine="720"/>
      </w:pPr>
    </w:p>
    <w:p w14:paraId="5453BFD6" w14:textId="77777777" w:rsidR="00A6166B" w:rsidRDefault="00155749" w:rsidP="00155749">
      <w:pPr>
        <w:pStyle w:val="NoSpacing"/>
        <w:ind w:firstLine="720"/>
      </w:pPr>
      <w:r w:rsidRPr="00155749">
        <w:rPr>
          <w:b/>
        </w:rPr>
        <w:t>“</w:t>
      </w:r>
      <w:r w:rsidR="007C2C84" w:rsidRPr="00155749">
        <w:rPr>
          <w:b/>
        </w:rPr>
        <w:t>Air quality simulation model</w:t>
      </w:r>
      <w:r w:rsidRPr="00155749">
        <w:rPr>
          <w:b/>
        </w:rPr>
        <w:t>”</w:t>
      </w:r>
      <w:r w:rsidR="007C2C84" w:rsidRPr="007C2C84">
        <w:t xml:space="preserve"> means a mathematical procedure for predicting the ambient air concentration of pollutants resulting from the dispersive properties of the atmosphere.</w:t>
      </w:r>
    </w:p>
    <w:p w14:paraId="2BF3655C" w14:textId="77777777" w:rsidR="00A6166B" w:rsidRDefault="00A6166B" w:rsidP="00155749">
      <w:pPr>
        <w:pStyle w:val="NoSpacing"/>
        <w:ind w:firstLine="720"/>
      </w:pPr>
    </w:p>
    <w:p w14:paraId="3384547D" w14:textId="77777777" w:rsidR="00A6166B" w:rsidRDefault="00155749" w:rsidP="00155749">
      <w:pPr>
        <w:pStyle w:val="NoSpacing"/>
        <w:ind w:firstLine="720"/>
      </w:pPr>
      <w:r w:rsidRPr="00155749">
        <w:rPr>
          <w:b/>
        </w:rPr>
        <w:t>“</w:t>
      </w:r>
      <w:r w:rsidR="007C2C84" w:rsidRPr="00155749">
        <w:rPr>
          <w:b/>
        </w:rPr>
        <w:t>Ambient air quality standard</w:t>
      </w:r>
      <w:r w:rsidRPr="00155749">
        <w:rPr>
          <w:b/>
        </w:rPr>
        <w:t>”</w:t>
      </w:r>
      <w:r w:rsidR="007C2C84" w:rsidRPr="007C2C84">
        <w:t xml:space="preserve"> means a limit on the concentration of a contaminant in the general outdoor atmosphere, which cannot be exceeded without causing or tending to cause injury to human health, welfare, animal or plant life, or property, or unreasonably interfering with the enjoyment of life and property, excluding all aspects of employer-employee relationship as to health and safety hazards.</w:t>
      </w:r>
    </w:p>
    <w:p w14:paraId="76A9FF9F" w14:textId="77777777" w:rsidR="00A6166B" w:rsidRDefault="00A6166B" w:rsidP="00155749">
      <w:pPr>
        <w:pStyle w:val="NoSpacing"/>
        <w:ind w:firstLine="720"/>
      </w:pPr>
    </w:p>
    <w:p w14:paraId="72C06A26" w14:textId="77777777" w:rsidR="00A6166B" w:rsidRDefault="00155749" w:rsidP="00155749">
      <w:pPr>
        <w:pStyle w:val="NoSpacing"/>
        <w:ind w:firstLine="720"/>
      </w:pPr>
      <w:r w:rsidRPr="00155749">
        <w:rPr>
          <w:b/>
        </w:rPr>
        <w:t>“</w:t>
      </w:r>
      <w:r w:rsidR="007C2C84" w:rsidRPr="00155749">
        <w:rPr>
          <w:b/>
        </w:rPr>
        <w:t>Carbon dioxide (CO</w:t>
      </w:r>
      <w:r w:rsidR="007C2C84" w:rsidRPr="00155749">
        <w:rPr>
          <w:b/>
          <w:vertAlign w:val="subscript"/>
        </w:rPr>
        <w:t>2</w:t>
      </w:r>
      <w:r w:rsidR="007C2C84" w:rsidRPr="00155749">
        <w:rPr>
          <w:b/>
        </w:rPr>
        <w:t>)</w:t>
      </w:r>
      <w:r w:rsidRPr="00155749">
        <w:rPr>
          <w:b/>
        </w:rPr>
        <w:t>”</w:t>
      </w:r>
      <w:r w:rsidR="007C2C84" w:rsidRPr="007C2C84">
        <w:t xml:space="preserve"> means a colorless, odorless gas at standard conditions, having a molecular composition of one carbon atom and two oxygen atoms.</w:t>
      </w:r>
    </w:p>
    <w:p w14:paraId="5AB52984" w14:textId="77777777" w:rsidR="00A6166B" w:rsidRDefault="00A6166B" w:rsidP="00155749">
      <w:pPr>
        <w:pStyle w:val="NoSpacing"/>
        <w:ind w:firstLine="720"/>
      </w:pPr>
    </w:p>
    <w:p w14:paraId="73069493" w14:textId="77777777" w:rsidR="00A6166B" w:rsidRDefault="00155749" w:rsidP="00155749">
      <w:pPr>
        <w:pStyle w:val="NoSpacing"/>
        <w:ind w:firstLine="720"/>
      </w:pPr>
      <w:r w:rsidRPr="00155749">
        <w:rPr>
          <w:b/>
        </w:rPr>
        <w:t>“</w:t>
      </w:r>
      <w:r w:rsidR="007C2C84" w:rsidRPr="00155749">
        <w:rPr>
          <w:b/>
        </w:rPr>
        <w:t>Fuel</w:t>
      </w:r>
      <w:r w:rsidRPr="00155749">
        <w:rPr>
          <w:b/>
        </w:rPr>
        <w:t>”</w:t>
      </w:r>
      <w:r w:rsidR="007C2C84" w:rsidRPr="007C2C84">
        <w:t xml:space="preserve"> means gaseous, liquid, or liquefiable petroleum product (excluding coal) which is produced, manufactured, used or sold for the purpose of creating useful heat.</w:t>
      </w:r>
    </w:p>
    <w:p w14:paraId="5E7ED39F" w14:textId="77777777" w:rsidR="00A6166B" w:rsidRDefault="00A6166B" w:rsidP="00155749">
      <w:pPr>
        <w:pStyle w:val="NoSpacing"/>
        <w:ind w:firstLine="720"/>
      </w:pPr>
    </w:p>
    <w:p w14:paraId="42895D4B" w14:textId="77777777" w:rsidR="00A6166B" w:rsidRDefault="00155749" w:rsidP="00155749">
      <w:pPr>
        <w:pStyle w:val="NoSpacing"/>
        <w:ind w:firstLine="720"/>
      </w:pPr>
      <w:r w:rsidRPr="00155749">
        <w:rPr>
          <w:b/>
        </w:rPr>
        <w:t>“</w:t>
      </w:r>
      <w:r w:rsidR="007C2C84" w:rsidRPr="00155749">
        <w:rPr>
          <w:b/>
        </w:rPr>
        <w:t>Fuel oil</w:t>
      </w:r>
      <w:r w:rsidRPr="00155749">
        <w:rPr>
          <w:b/>
        </w:rPr>
        <w:t>”</w:t>
      </w:r>
      <w:r w:rsidR="007C2C84" w:rsidRPr="007C2C84">
        <w:t xml:space="preserve"> means a liquid or liquefiable petroleum product burned for lighting or for the generation of heat or power and derived directly or indirectly from crude oil.</w:t>
      </w:r>
    </w:p>
    <w:p w14:paraId="2ACCDA9E" w14:textId="77777777" w:rsidR="00A6166B" w:rsidRDefault="00A6166B" w:rsidP="00155749">
      <w:pPr>
        <w:pStyle w:val="NoSpacing"/>
        <w:ind w:firstLine="720"/>
      </w:pPr>
    </w:p>
    <w:p w14:paraId="0FEBA71C" w14:textId="77777777" w:rsidR="00A6166B" w:rsidRDefault="00155749" w:rsidP="00155749">
      <w:pPr>
        <w:pStyle w:val="NoSpacing"/>
        <w:ind w:firstLine="720"/>
      </w:pPr>
      <w:r w:rsidRPr="00155749">
        <w:rPr>
          <w:b/>
        </w:rPr>
        <w:t>“</w:t>
      </w:r>
      <w:r w:rsidR="007C2C84" w:rsidRPr="00155749">
        <w:rPr>
          <w:b/>
        </w:rPr>
        <w:t>Mathematical combination</w:t>
      </w:r>
      <w:r w:rsidRPr="00155749">
        <w:rPr>
          <w:b/>
        </w:rPr>
        <w:t>”</w:t>
      </w:r>
      <w:r w:rsidR="007C2C84" w:rsidRPr="007C2C84">
        <w:t xml:space="preserve"> means the summation of the emissions from two or more stacks or chimneys and the regulation of those emissions as if they came from the same sources venting through a single stack.</w:t>
      </w:r>
    </w:p>
    <w:p w14:paraId="5E768A21" w14:textId="77777777" w:rsidR="00A6166B" w:rsidRDefault="00A6166B" w:rsidP="00155749">
      <w:pPr>
        <w:pStyle w:val="NoSpacing"/>
        <w:ind w:firstLine="720"/>
      </w:pPr>
    </w:p>
    <w:p w14:paraId="049DED3B" w14:textId="77777777" w:rsidR="00A6166B" w:rsidRDefault="00155749" w:rsidP="00155749">
      <w:pPr>
        <w:pStyle w:val="NoSpacing"/>
        <w:ind w:firstLine="720"/>
      </w:pPr>
      <w:r w:rsidRPr="00155749">
        <w:rPr>
          <w:b/>
        </w:rPr>
        <w:t>“</w:t>
      </w:r>
      <w:r w:rsidR="007C2C84" w:rsidRPr="00155749">
        <w:rPr>
          <w:b/>
        </w:rPr>
        <w:t>Motor vehicle</w:t>
      </w:r>
      <w:r w:rsidRPr="00155749">
        <w:rPr>
          <w:b/>
        </w:rPr>
        <w:t>”</w:t>
      </w:r>
      <w:r w:rsidR="007C2C84" w:rsidRPr="007C2C84">
        <w:t xml:space="preserve"> means any vehicle propelled otherwise than by muscular power, excepting such vehicles as run only upon rails or tracks.</w:t>
      </w:r>
    </w:p>
    <w:p w14:paraId="39A2B0B9" w14:textId="77777777" w:rsidR="00A6166B" w:rsidRDefault="00A6166B" w:rsidP="00155749">
      <w:pPr>
        <w:pStyle w:val="NoSpacing"/>
        <w:ind w:firstLine="720"/>
      </w:pPr>
    </w:p>
    <w:p w14:paraId="31627D34" w14:textId="77777777" w:rsidR="00A6166B" w:rsidRDefault="00155749" w:rsidP="00155749">
      <w:pPr>
        <w:pStyle w:val="NoSpacing"/>
        <w:ind w:firstLine="720"/>
      </w:pPr>
      <w:r w:rsidRPr="00155749">
        <w:rPr>
          <w:b/>
        </w:rPr>
        <w:t>“</w:t>
      </w:r>
      <w:r w:rsidR="007C2C84" w:rsidRPr="00155749">
        <w:rPr>
          <w:b/>
        </w:rPr>
        <w:t>Municipal solid waste (MSW)</w:t>
      </w:r>
      <w:r w:rsidRPr="00155749">
        <w:rPr>
          <w:b/>
        </w:rPr>
        <w:t>”</w:t>
      </w:r>
      <w:r w:rsidR="007C2C84" w:rsidRPr="007C2C84">
        <w:t xml:space="preserve"> means residential, commercial, and institutional non-hazardous solid waste.</w:t>
      </w:r>
    </w:p>
    <w:p w14:paraId="2A69FF1F" w14:textId="77777777" w:rsidR="00A6166B" w:rsidRDefault="00A6166B" w:rsidP="00155749">
      <w:pPr>
        <w:pStyle w:val="NoSpacing"/>
        <w:ind w:firstLine="720"/>
      </w:pPr>
    </w:p>
    <w:p w14:paraId="3F6D09D3" w14:textId="77777777" w:rsidR="00A6166B" w:rsidRDefault="00155749" w:rsidP="00155749">
      <w:pPr>
        <w:pStyle w:val="NoSpacing"/>
        <w:ind w:firstLine="720"/>
      </w:pPr>
      <w:r w:rsidRPr="00155749">
        <w:rPr>
          <w:b/>
        </w:rPr>
        <w:t>“</w:t>
      </w:r>
      <w:r w:rsidR="007C2C84" w:rsidRPr="00155749">
        <w:rPr>
          <w:b/>
        </w:rPr>
        <w:t>Solid fuel</w:t>
      </w:r>
      <w:r w:rsidRPr="00155749">
        <w:rPr>
          <w:b/>
        </w:rPr>
        <w:t>”</w:t>
      </w:r>
      <w:r w:rsidR="007C2C84" w:rsidRPr="007C2C84">
        <w:t xml:space="preserve"> means solid material or any substance derived from solid material used or to be used for the purpose of creating useful heat and includes, but is not limited to, coal, gasified coal, liquified coal, solid solvent-refined coal, municipal solid waste, refuse-derived fuel, and wood.</w:t>
      </w:r>
    </w:p>
    <w:p w14:paraId="551EBB05" w14:textId="77777777" w:rsidR="00A6166B" w:rsidRDefault="00A6166B" w:rsidP="00155749">
      <w:pPr>
        <w:pStyle w:val="NoSpacing"/>
        <w:ind w:firstLine="720"/>
      </w:pPr>
    </w:p>
    <w:p w14:paraId="16F980B7" w14:textId="77777777" w:rsidR="00A6166B" w:rsidRDefault="00155749" w:rsidP="00155749">
      <w:pPr>
        <w:pStyle w:val="NoSpacing"/>
        <w:ind w:firstLine="720"/>
      </w:pPr>
      <w:r w:rsidRPr="00155749">
        <w:rPr>
          <w:b/>
        </w:rPr>
        <w:t>“</w:t>
      </w:r>
      <w:r w:rsidR="007C2C84" w:rsidRPr="00155749">
        <w:rPr>
          <w:b/>
        </w:rPr>
        <w:t>SSU viscosity</w:t>
      </w:r>
      <w:r w:rsidRPr="00155749">
        <w:rPr>
          <w:b/>
        </w:rPr>
        <w:t>”</w:t>
      </w:r>
      <w:r w:rsidR="007C2C84" w:rsidRPr="007C2C84">
        <w:t xml:space="preserve"> means the number of seconds it takes 60 cubic centimeters of an oil to flow through the standard orifice of a Saybolt Universal viscometer at 100 degrees Fahrenheit.</w:t>
      </w:r>
    </w:p>
    <w:p w14:paraId="7CCBB469" w14:textId="77777777" w:rsidR="00A6166B" w:rsidRDefault="00A6166B" w:rsidP="00155749">
      <w:pPr>
        <w:pStyle w:val="NoSpacing"/>
        <w:ind w:firstLine="720"/>
      </w:pPr>
    </w:p>
    <w:p w14:paraId="2DD5085F" w14:textId="77777777" w:rsidR="00A6166B" w:rsidRDefault="00155749" w:rsidP="00155749">
      <w:pPr>
        <w:pStyle w:val="NoSpacing"/>
        <w:ind w:firstLine="720"/>
      </w:pPr>
      <w:r w:rsidRPr="00155749">
        <w:rPr>
          <w:b/>
        </w:rPr>
        <w:lastRenderedPageBreak/>
        <w:t>“</w:t>
      </w:r>
      <w:r w:rsidR="007C2C84" w:rsidRPr="00155749">
        <w:rPr>
          <w:b/>
        </w:rPr>
        <w:t>Stack or chimney</w:t>
      </w:r>
      <w:r w:rsidRPr="00155749">
        <w:rPr>
          <w:b/>
        </w:rPr>
        <w:t>”</w:t>
      </w:r>
      <w:r w:rsidR="007C2C84" w:rsidRPr="007C2C84">
        <w:t xml:space="preserve"> means a flue, conduit or opening designed, constructed, and/or utilized for the purpose of emitting air contaminants into the outdoor air.</w:t>
      </w:r>
    </w:p>
    <w:p w14:paraId="60AEF176" w14:textId="77777777" w:rsidR="00A6166B" w:rsidRDefault="00A6166B" w:rsidP="00155749">
      <w:pPr>
        <w:pStyle w:val="NoSpacing"/>
        <w:ind w:firstLine="720"/>
      </w:pPr>
    </w:p>
    <w:p w14:paraId="32722A9D" w14:textId="77777777" w:rsidR="00A6166B" w:rsidRDefault="00155749" w:rsidP="00155749">
      <w:pPr>
        <w:pStyle w:val="NoSpacing"/>
        <w:ind w:firstLine="720"/>
      </w:pPr>
      <w:r w:rsidRPr="00155749">
        <w:rPr>
          <w:b/>
        </w:rPr>
        <w:t>“</w:t>
      </w:r>
      <w:r w:rsidR="007C2C84" w:rsidRPr="00155749">
        <w:rPr>
          <w:b/>
        </w:rPr>
        <w:t>Sulfur dioxide (SO</w:t>
      </w:r>
      <w:r w:rsidR="007C2C84" w:rsidRPr="00155749">
        <w:rPr>
          <w:b/>
          <w:vertAlign w:val="subscript"/>
        </w:rPr>
        <w:t>2</w:t>
      </w:r>
      <w:r w:rsidR="007C2C84" w:rsidRPr="00155749">
        <w:rPr>
          <w:b/>
        </w:rPr>
        <w:t>)</w:t>
      </w:r>
      <w:r w:rsidRPr="00155749">
        <w:rPr>
          <w:b/>
        </w:rPr>
        <w:t>”</w:t>
      </w:r>
      <w:r w:rsidR="007C2C84" w:rsidRPr="007C2C84">
        <w:t xml:space="preserve"> means a colorless gas at standard conditions, having a molecular composition of one sulfur atom and two oxygen atoms.</w:t>
      </w:r>
    </w:p>
    <w:p w14:paraId="60D98E58" w14:textId="77777777" w:rsidR="00A6166B" w:rsidRDefault="00A6166B" w:rsidP="00155749">
      <w:pPr>
        <w:pStyle w:val="NoSpacing"/>
        <w:ind w:firstLine="720"/>
      </w:pPr>
    </w:p>
    <w:p w14:paraId="1536A07C" w14:textId="77777777" w:rsidR="00A6166B" w:rsidRDefault="00155749" w:rsidP="00155749">
      <w:pPr>
        <w:pStyle w:val="NoSpacing"/>
        <w:ind w:firstLine="720"/>
      </w:pPr>
      <w:r w:rsidRPr="00155749">
        <w:rPr>
          <w:b/>
        </w:rPr>
        <w:t>“</w:t>
      </w:r>
      <w:r w:rsidR="007C2C84" w:rsidRPr="00155749">
        <w:rPr>
          <w:b/>
        </w:rPr>
        <w:t>Viscosity</w:t>
      </w:r>
      <w:r w:rsidRPr="00155749">
        <w:rPr>
          <w:b/>
        </w:rPr>
        <w:t>”</w:t>
      </w:r>
      <w:r w:rsidR="007C2C84" w:rsidRPr="007C2C84">
        <w:t xml:space="preserve"> means the measure of a fluid's resistance to flow.</w:t>
      </w:r>
    </w:p>
    <w:p w14:paraId="6BB778B4" w14:textId="77777777" w:rsidR="00A6166B" w:rsidRDefault="00A6166B" w:rsidP="00155749">
      <w:pPr>
        <w:pStyle w:val="NoSpacing"/>
        <w:ind w:firstLine="720"/>
      </w:pPr>
    </w:p>
    <w:p w14:paraId="789E926A" w14:textId="77777777" w:rsidR="00A6166B" w:rsidRDefault="00155749" w:rsidP="00155749">
      <w:pPr>
        <w:pStyle w:val="NoSpacing"/>
        <w:ind w:firstLine="720"/>
      </w:pPr>
      <w:r w:rsidRPr="00155749">
        <w:rPr>
          <w:b/>
        </w:rPr>
        <w:t>“</w:t>
      </w:r>
      <w:r w:rsidR="007C2C84" w:rsidRPr="00155749">
        <w:rPr>
          <w:b/>
        </w:rPr>
        <w:t>Zone 1</w:t>
      </w:r>
      <w:r w:rsidRPr="00155749">
        <w:rPr>
          <w:b/>
        </w:rPr>
        <w:t>”</w:t>
      </w:r>
      <w:r w:rsidR="007C2C84" w:rsidRPr="007C2C84">
        <w:t xml:space="preserve"> means Atlantic, Cape May, Cumberland, and Ocean Counties.</w:t>
      </w:r>
    </w:p>
    <w:p w14:paraId="7663E49D" w14:textId="77777777" w:rsidR="00A6166B" w:rsidRDefault="00A6166B" w:rsidP="00155749">
      <w:pPr>
        <w:pStyle w:val="NoSpacing"/>
        <w:ind w:firstLine="720"/>
      </w:pPr>
    </w:p>
    <w:p w14:paraId="714661D4" w14:textId="77777777" w:rsidR="00A6166B" w:rsidRDefault="00155749" w:rsidP="00155749">
      <w:pPr>
        <w:pStyle w:val="NoSpacing"/>
        <w:ind w:firstLine="720"/>
      </w:pPr>
      <w:r w:rsidRPr="00155749">
        <w:rPr>
          <w:b/>
        </w:rPr>
        <w:t>“</w:t>
      </w:r>
      <w:r w:rsidR="007C2C84" w:rsidRPr="00155749">
        <w:rPr>
          <w:b/>
        </w:rPr>
        <w:t>Zone 2</w:t>
      </w:r>
      <w:r w:rsidRPr="00155749">
        <w:rPr>
          <w:b/>
        </w:rPr>
        <w:t>”</w:t>
      </w:r>
      <w:r w:rsidR="007C2C84" w:rsidRPr="007C2C84">
        <w:t xml:space="preserve"> means Hunterdon, Sussex, and Warren Counties.</w:t>
      </w:r>
    </w:p>
    <w:p w14:paraId="3423F987" w14:textId="77777777" w:rsidR="00A6166B" w:rsidRDefault="00A6166B" w:rsidP="00155749">
      <w:pPr>
        <w:pStyle w:val="NoSpacing"/>
        <w:ind w:firstLine="720"/>
      </w:pPr>
    </w:p>
    <w:p w14:paraId="63287F17" w14:textId="77777777" w:rsidR="00A6166B" w:rsidRDefault="00155749" w:rsidP="00155749">
      <w:pPr>
        <w:pStyle w:val="NoSpacing"/>
        <w:ind w:firstLine="720"/>
      </w:pPr>
      <w:r w:rsidRPr="00155749">
        <w:rPr>
          <w:b/>
        </w:rPr>
        <w:t>“</w:t>
      </w:r>
      <w:r w:rsidR="007C2C84" w:rsidRPr="00155749">
        <w:rPr>
          <w:b/>
        </w:rPr>
        <w:t>Zone 3</w:t>
      </w:r>
      <w:r w:rsidRPr="00155749">
        <w:rPr>
          <w:b/>
        </w:rPr>
        <w:t>”</w:t>
      </w:r>
      <w:r w:rsidR="007C2C84" w:rsidRPr="007C2C84">
        <w:t xml:space="preserve"> means Burlington, Camden, Gloucester, and Mercer Counties except those municipalities included in Zone 6.</w:t>
      </w:r>
    </w:p>
    <w:p w14:paraId="23A08766" w14:textId="77777777" w:rsidR="00A6166B" w:rsidRDefault="00A6166B" w:rsidP="00155749">
      <w:pPr>
        <w:pStyle w:val="NoSpacing"/>
        <w:ind w:firstLine="720"/>
      </w:pPr>
    </w:p>
    <w:p w14:paraId="60771910" w14:textId="77777777" w:rsidR="00A6166B" w:rsidRDefault="00155749" w:rsidP="00155749">
      <w:pPr>
        <w:pStyle w:val="NoSpacing"/>
        <w:ind w:firstLine="720"/>
      </w:pPr>
      <w:r w:rsidRPr="00155749">
        <w:rPr>
          <w:b/>
        </w:rPr>
        <w:t>“</w:t>
      </w:r>
      <w:r w:rsidR="007C2C84" w:rsidRPr="00155749">
        <w:rPr>
          <w:b/>
        </w:rPr>
        <w:t>Zone 4</w:t>
      </w:r>
      <w:r w:rsidRPr="00155749">
        <w:rPr>
          <w:b/>
        </w:rPr>
        <w:t>”</w:t>
      </w:r>
      <w:r w:rsidR="007C2C84" w:rsidRPr="007C2C84">
        <w:t xml:space="preserve"> means Bergen, Essex, Hudson, Middlesex, Monmouth, Morris, Passaic, Somerset, and Union Counties.</w:t>
      </w:r>
    </w:p>
    <w:p w14:paraId="54095FD1" w14:textId="77777777" w:rsidR="00A6166B" w:rsidRDefault="00A6166B" w:rsidP="00155749">
      <w:pPr>
        <w:pStyle w:val="NoSpacing"/>
        <w:ind w:firstLine="720"/>
      </w:pPr>
    </w:p>
    <w:p w14:paraId="06ADA913" w14:textId="77777777" w:rsidR="00A6166B" w:rsidRDefault="00155749" w:rsidP="00155749">
      <w:pPr>
        <w:pStyle w:val="NoSpacing"/>
        <w:ind w:firstLine="720"/>
      </w:pPr>
      <w:r w:rsidRPr="00155749">
        <w:rPr>
          <w:b/>
        </w:rPr>
        <w:t>“</w:t>
      </w:r>
      <w:r w:rsidR="007C2C84" w:rsidRPr="00155749">
        <w:rPr>
          <w:b/>
        </w:rPr>
        <w:t>Zone 5</w:t>
      </w:r>
      <w:r w:rsidRPr="00155749">
        <w:rPr>
          <w:b/>
        </w:rPr>
        <w:t>”</w:t>
      </w:r>
      <w:r w:rsidR="007C2C84" w:rsidRPr="007C2C84">
        <w:t xml:space="preserve"> means Salem County.</w:t>
      </w:r>
    </w:p>
    <w:p w14:paraId="4F3BF0B4" w14:textId="77777777" w:rsidR="00A6166B" w:rsidRDefault="00A6166B" w:rsidP="00155749">
      <w:pPr>
        <w:pStyle w:val="NoSpacing"/>
        <w:ind w:firstLine="720"/>
      </w:pPr>
    </w:p>
    <w:p w14:paraId="498E0913" w14:textId="77777777" w:rsidR="003D61E3" w:rsidRPr="007C2C84" w:rsidRDefault="00155749" w:rsidP="00155749">
      <w:pPr>
        <w:pStyle w:val="NoSpacing"/>
        <w:ind w:firstLine="720"/>
      </w:pPr>
      <w:r w:rsidRPr="00155749">
        <w:rPr>
          <w:b/>
        </w:rPr>
        <w:t>“</w:t>
      </w:r>
      <w:r w:rsidR="007C2C84" w:rsidRPr="00155749">
        <w:rPr>
          <w:b/>
        </w:rPr>
        <w:t>Zone 6</w:t>
      </w:r>
      <w:r w:rsidRPr="00155749">
        <w:rPr>
          <w:b/>
        </w:rPr>
        <w:t>”</w:t>
      </w:r>
      <w:r w:rsidR="007C2C84" w:rsidRPr="007C2C84">
        <w:t xml:space="preserve"> means in Burlington County, the municipalities of Bass River Township, Shamong Township, Southampton Township, Tabernacle Township, Washington Township, Woodland Township, and in Camden County, Waterford Township.</w:t>
      </w:r>
    </w:p>
    <w:p w14:paraId="68FEF604" w14:textId="77777777" w:rsidR="007C2C84" w:rsidRPr="007C2C84" w:rsidRDefault="007C2C84" w:rsidP="00155749">
      <w:pPr>
        <w:pStyle w:val="NoSpacing"/>
      </w:pPr>
    </w:p>
    <w:p w14:paraId="1830E8AC" w14:textId="77777777" w:rsidR="003D61E3" w:rsidRDefault="003D61E3" w:rsidP="00155749">
      <w:pPr>
        <w:rPr>
          <w:b/>
          <w:color w:val="000000"/>
        </w:rPr>
      </w:pPr>
      <w:r w:rsidRPr="007C2C84">
        <w:rPr>
          <w:b/>
          <w:color w:val="000000"/>
        </w:rPr>
        <w:t>7:27-9.2 Sulfur content standards</w:t>
      </w:r>
    </w:p>
    <w:p w14:paraId="275AD392" w14:textId="77777777" w:rsidR="00CC5500" w:rsidRPr="007C2C84" w:rsidRDefault="00CC5500" w:rsidP="00155749">
      <w:pPr>
        <w:rPr>
          <w:b/>
          <w:color w:val="000000"/>
        </w:rPr>
      </w:pPr>
    </w:p>
    <w:p w14:paraId="62734DA5" w14:textId="77777777" w:rsidR="00CE5AFA" w:rsidRDefault="005B3FC1" w:rsidP="00CC5500">
      <w:pPr>
        <w:widowControl/>
        <w:autoSpaceDE/>
        <w:autoSpaceDN/>
        <w:adjustRightInd/>
        <w:ind w:left="720" w:hanging="720"/>
        <w:rPr>
          <w:color w:val="333333"/>
        </w:rPr>
      </w:pPr>
      <w:r w:rsidRPr="005B3FC1">
        <w:rPr>
          <w:color w:val="333333"/>
        </w:rPr>
        <w:t>(a</w:t>
      </w:r>
      <w:r w:rsidR="00CC5500">
        <w:rPr>
          <w:color w:val="333333"/>
        </w:rPr>
        <w:t>)</w:t>
      </w:r>
      <w:r w:rsidR="00CC5500">
        <w:rPr>
          <w:color w:val="333333"/>
        </w:rPr>
        <w:tab/>
      </w:r>
      <w:r w:rsidR="007C2C84" w:rsidRPr="007C2C84">
        <w:rPr>
          <w:color w:val="333333"/>
        </w:rPr>
        <w:t>No person shall store, offer for sale, sell, deliver or exchange in trade, for use in New Jersey, fuel that contains sulfur in excess of the applicable parts per million by weight set forth in Tables 1A and 1B of this section, except as provided in (c), (d) and (e) below.</w:t>
      </w:r>
      <w:r w:rsidR="00CC5500">
        <w:rPr>
          <w:color w:val="333333"/>
        </w:rPr>
        <w:t xml:space="preserve"> </w:t>
      </w:r>
      <w:r w:rsidR="007C2C84" w:rsidRPr="007C2C84">
        <w:rPr>
          <w:color w:val="333333"/>
        </w:rPr>
        <w:t xml:space="preserve"> Fuel stored in New Jersey that met the applicable maximum sulfur content standard of Tables 1A or 1B of this section at the time the fuel was stored in New Jersey may be stored, offered for sale, sold, delivered or exchanged in trade, for use in New Jersey, after the effective date of the ap</w:t>
      </w:r>
      <w:r w:rsidR="00CE5AFA">
        <w:rPr>
          <w:color w:val="333333"/>
        </w:rPr>
        <w:t>plicable standard in Table 1B.</w:t>
      </w:r>
    </w:p>
    <w:p w14:paraId="7C76A953" w14:textId="77777777" w:rsidR="00CE5AFA" w:rsidRDefault="00CE5AFA" w:rsidP="00155749">
      <w:pPr>
        <w:widowControl/>
        <w:autoSpaceDE/>
        <w:autoSpaceDN/>
        <w:adjustRightInd/>
        <w:ind w:left="720"/>
        <w:rPr>
          <w:color w:val="333333"/>
        </w:rPr>
      </w:pPr>
    </w:p>
    <w:p w14:paraId="6F4AD50D" w14:textId="77777777" w:rsidR="007C2C84" w:rsidRDefault="005B3FC1" w:rsidP="00196461">
      <w:pPr>
        <w:widowControl/>
        <w:autoSpaceDE/>
        <w:autoSpaceDN/>
        <w:adjustRightInd/>
        <w:ind w:left="720" w:hanging="720"/>
        <w:rPr>
          <w:color w:val="333333"/>
        </w:rPr>
      </w:pPr>
      <w:r>
        <w:rPr>
          <w:color w:val="333333"/>
        </w:rPr>
        <w:t xml:space="preserve">(b)  </w:t>
      </w:r>
      <w:r w:rsidR="00196461">
        <w:rPr>
          <w:color w:val="333333"/>
        </w:rPr>
        <w:tab/>
      </w:r>
      <w:r w:rsidR="007C2C84" w:rsidRPr="007C2C84">
        <w:rPr>
          <w:color w:val="333333"/>
        </w:rPr>
        <w:t xml:space="preserve">No person shall use fuel that contains sulfur in excess of the applicable parts per million by weight set forth in Tables 1A and 1B of this section, except as provided in (c), (d) and (e) below. </w:t>
      </w:r>
      <w:r w:rsidR="00196461">
        <w:rPr>
          <w:color w:val="333333"/>
        </w:rPr>
        <w:t xml:space="preserve"> </w:t>
      </w:r>
      <w:r w:rsidR="007C2C84" w:rsidRPr="007C2C84">
        <w:rPr>
          <w:color w:val="333333"/>
        </w:rPr>
        <w:t>Fuel stored in New Jersey that met the applicable maximum sulfur content standard of Tables 1A or 1B of this section at the time it was stored in New Jersey may be used in New Jersey after the operative date of the applicable standard in 1B.</w:t>
      </w:r>
    </w:p>
    <w:p w14:paraId="24DC5653" w14:textId="77777777" w:rsidR="008F448F" w:rsidRDefault="008F448F" w:rsidP="00155749">
      <w:pPr>
        <w:widowControl/>
        <w:autoSpaceDE/>
        <w:autoSpaceDN/>
        <w:adjustRightInd/>
        <w:rPr>
          <w:color w:val="333333"/>
        </w:rPr>
      </w:pPr>
    </w:p>
    <w:p w14:paraId="33E878B5" w14:textId="77777777" w:rsidR="00A6166B" w:rsidRDefault="00A6166B" w:rsidP="00155749">
      <w:pPr>
        <w:widowControl/>
        <w:autoSpaceDE/>
        <w:autoSpaceDN/>
        <w:adjustRightInd/>
        <w:rPr>
          <w:color w:val="333333"/>
        </w:rPr>
      </w:pPr>
    </w:p>
    <w:p w14:paraId="786B8753" w14:textId="77777777" w:rsidR="00A6166B" w:rsidRDefault="00A6166B" w:rsidP="00155749">
      <w:pPr>
        <w:widowControl/>
        <w:autoSpaceDE/>
        <w:autoSpaceDN/>
        <w:adjustRightInd/>
        <w:rPr>
          <w:color w:val="333333"/>
        </w:rPr>
      </w:pPr>
    </w:p>
    <w:p w14:paraId="5033779C" w14:textId="77777777" w:rsidR="00A6166B" w:rsidRDefault="00A6166B" w:rsidP="00155749">
      <w:pPr>
        <w:widowControl/>
        <w:autoSpaceDE/>
        <w:autoSpaceDN/>
        <w:adjustRightInd/>
        <w:rPr>
          <w:color w:val="333333"/>
        </w:rPr>
      </w:pPr>
    </w:p>
    <w:p w14:paraId="61806A45" w14:textId="77777777" w:rsidR="00A6166B" w:rsidRDefault="00A6166B" w:rsidP="00155749">
      <w:pPr>
        <w:widowControl/>
        <w:autoSpaceDE/>
        <w:autoSpaceDN/>
        <w:adjustRightInd/>
        <w:rPr>
          <w:color w:val="333333"/>
        </w:rPr>
      </w:pPr>
    </w:p>
    <w:p w14:paraId="1679C7AA" w14:textId="77777777" w:rsidR="00A6166B" w:rsidRDefault="00A6166B" w:rsidP="00155749">
      <w:pPr>
        <w:widowControl/>
        <w:autoSpaceDE/>
        <w:autoSpaceDN/>
        <w:adjustRightInd/>
        <w:rPr>
          <w:color w:val="333333"/>
        </w:rPr>
      </w:pPr>
    </w:p>
    <w:p w14:paraId="58ED7C21" w14:textId="77777777" w:rsidR="00A6166B" w:rsidRDefault="00A6166B" w:rsidP="00155749">
      <w:pPr>
        <w:widowControl/>
        <w:autoSpaceDE/>
        <w:autoSpaceDN/>
        <w:adjustRightInd/>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10"/>
        <w:gridCol w:w="1260"/>
        <w:gridCol w:w="1260"/>
        <w:gridCol w:w="1260"/>
        <w:gridCol w:w="1278"/>
      </w:tblGrid>
      <w:tr w:rsidR="00CC5500" w:rsidRPr="008F0791" w14:paraId="411DC24C" w14:textId="77777777" w:rsidTr="008F0791">
        <w:tc>
          <w:tcPr>
            <w:tcW w:w="9576" w:type="dxa"/>
            <w:gridSpan w:val="6"/>
            <w:shd w:val="clear" w:color="auto" w:fill="auto"/>
            <w:vAlign w:val="center"/>
          </w:tcPr>
          <w:p w14:paraId="29BFE0BF" w14:textId="77777777" w:rsidR="00CC5500" w:rsidRPr="008F0791" w:rsidRDefault="00CC5500" w:rsidP="008F0791">
            <w:pPr>
              <w:widowControl/>
              <w:autoSpaceDE/>
              <w:autoSpaceDN/>
              <w:adjustRightInd/>
              <w:jc w:val="center"/>
              <w:rPr>
                <w:b/>
                <w:color w:val="333333"/>
              </w:rPr>
            </w:pPr>
            <w:r w:rsidRPr="008F0791">
              <w:rPr>
                <w:b/>
                <w:color w:val="333333"/>
              </w:rPr>
              <w:lastRenderedPageBreak/>
              <w:t>TABLE 1A</w:t>
            </w:r>
          </w:p>
        </w:tc>
      </w:tr>
      <w:tr w:rsidR="00CC5500" w:rsidRPr="008F0791" w14:paraId="63BF5ADE" w14:textId="77777777" w:rsidTr="008F0791">
        <w:tc>
          <w:tcPr>
            <w:tcW w:w="9576" w:type="dxa"/>
            <w:gridSpan w:val="6"/>
            <w:shd w:val="clear" w:color="auto" w:fill="auto"/>
            <w:vAlign w:val="center"/>
          </w:tcPr>
          <w:p w14:paraId="2DB3BF51" w14:textId="77777777" w:rsidR="00CC5500" w:rsidRPr="008F0791" w:rsidRDefault="00CC5500" w:rsidP="008F0791">
            <w:pPr>
              <w:widowControl/>
              <w:autoSpaceDE/>
              <w:autoSpaceDN/>
              <w:adjustRightInd/>
              <w:jc w:val="center"/>
              <w:rPr>
                <w:b/>
                <w:color w:val="333333"/>
              </w:rPr>
            </w:pPr>
            <w:r w:rsidRPr="008F0791">
              <w:rPr>
                <w:b/>
                <w:color w:val="333333"/>
              </w:rPr>
              <w:t>MAXIMUM ALLOWABLE SULFUR IN FUEL EFFECTIVE THROUGH JUNE 30, 2014</w:t>
            </w:r>
          </w:p>
        </w:tc>
      </w:tr>
      <w:tr w:rsidR="00CC5500" w:rsidRPr="008F0791" w14:paraId="3C90AFA5" w14:textId="77777777" w:rsidTr="008F0791">
        <w:tc>
          <w:tcPr>
            <w:tcW w:w="1908" w:type="dxa"/>
            <w:shd w:val="clear" w:color="auto" w:fill="auto"/>
            <w:vAlign w:val="center"/>
          </w:tcPr>
          <w:p w14:paraId="3F0DEBB0" w14:textId="77777777" w:rsidR="00CC5500" w:rsidRPr="008F0791" w:rsidRDefault="00CC5500" w:rsidP="008F0791">
            <w:pPr>
              <w:widowControl/>
              <w:autoSpaceDE/>
              <w:autoSpaceDN/>
              <w:adjustRightInd/>
              <w:jc w:val="center"/>
              <w:rPr>
                <w:b/>
                <w:color w:val="333333"/>
              </w:rPr>
            </w:pPr>
            <w:r w:rsidRPr="008F0791">
              <w:rPr>
                <w:b/>
                <w:color w:val="333333"/>
              </w:rPr>
              <w:t>Typical Grades</w:t>
            </w:r>
            <w:r w:rsidR="00650EDF" w:rsidRPr="008F0791">
              <w:rPr>
                <w:b/>
                <w:color w:val="333333"/>
              </w:rPr>
              <w:t xml:space="preserve"> </w:t>
            </w:r>
            <w:r w:rsidRPr="008F0791">
              <w:rPr>
                <w:b/>
                <w:color w:val="333333"/>
              </w:rPr>
              <w:t>of Fuel Oil</w:t>
            </w:r>
          </w:p>
        </w:tc>
        <w:tc>
          <w:tcPr>
            <w:tcW w:w="2610" w:type="dxa"/>
            <w:shd w:val="clear" w:color="auto" w:fill="auto"/>
            <w:vAlign w:val="center"/>
          </w:tcPr>
          <w:p w14:paraId="14178E24" w14:textId="77777777" w:rsidR="00CC5500" w:rsidRPr="008F0791" w:rsidRDefault="00CC5500" w:rsidP="008F0791">
            <w:pPr>
              <w:widowControl/>
              <w:autoSpaceDE/>
              <w:autoSpaceDN/>
              <w:adjustRightInd/>
              <w:jc w:val="center"/>
              <w:rPr>
                <w:b/>
                <w:color w:val="333333"/>
              </w:rPr>
            </w:pPr>
            <w:r w:rsidRPr="008F0791">
              <w:rPr>
                <w:b/>
                <w:color w:val="333333"/>
              </w:rPr>
              <w:t>Classification</w:t>
            </w:r>
            <w:r w:rsidR="00650EDF" w:rsidRPr="008F0791">
              <w:rPr>
                <w:b/>
                <w:color w:val="333333"/>
              </w:rPr>
              <w:t xml:space="preserve"> </w:t>
            </w:r>
            <w:r w:rsidRPr="008F0791">
              <w:rPr>
                <w:b/>
                <w:color w:val="333333"/>
              </w:rPr>
              <w:t>by SSU Viscosity</w:t>
            </w:r>
            <w:r w:rsidR="00650EDF" w:rsidRPr="008F0791">
              <w:rPr>
                <w:b/>
                <w:color w:val="333333"/>
              </w:rPr>
              <w:t xml:space="preserve"> </w:t>
            </w:r>
            <w:r w:rsidRPr="008F0791">
              <w:rPr>
                <w:b/>
                <w:color w:val="333333"/>
              </w:rPr>
              <w:t>at 100°F</w:t>
            </w:r>
          </w:p>
        </w:tc>
        <w:tc>
          <w:tcPr>
            <w:tcW w:w="5058" w:type="dxa"/>
            <w:gridSpan w:val="4"/>
            <w:shd w:val="clear" w:color="auto" w:fill="auto"/>
            <w:vAlign w:val="center"/>
          </w:tcPr>
          <w:p w14:paraId="66B4AE54" w14:textId="77777777" w:rsidR="00CC5500" w:rsidRPr="008F0791" w:rsidRDefault="00CC5500" w:rsidP="008F0791">
            <w:pPr>
              <w:widowControl/>
              <w:autoSpaceDE/>
              <w:autoSpaceDN/>
              <w:adjustRightInd/>
              <w:jc w:val="center"/>
              <w:rPr>
                <w:b/>
                <w:color w:val="333333"/>
              </w:rPr>
            </w:pPr>
            <w:r w:rsidRPr="008F0791">
              <w:rPr>
                <w:b/>
                <w:color w:val="333333"/>
              </w:rPr>
              <w:t>Parts per Million by Weight (ppm)</w:t>
            </w:r>
          </w:p>
        </w:tc>
      </w:tr>
      <w:tr w:rsidR="008F0791" w:rsidRPr="008F0791" w14:paraId="12F6566C" w14:textId="77777777" w:rsidTr="008F0791">
        <w:tc>
          <w:tcPr>
            <w:tcW w:w="1908" w:type="dxa"/>
            <w:shd w:val="clear" w:color="auto" w:fill="auto"/>
            <w:vAlign w:val="center"/>
          </w:tcPr>
          <w:p w14:paraId="15AF32B2" w14:textId="77777777" w:rsidR="008F448F" w:rsidRPr="008F0791" w:rsidRDefault="008F448F" w:rsidP="008F0791">
            <w:pPr>
              <w:widowControl/>
              <w:autoSpaceDE/>
              <w:autoSpaceDN/>
              <w:adjustRightInd/>
              <w:jc w:val="center"/>
              <w:rPr>
                <w:color w:val="333333"/>
              </w:rPr>
            </w:pPr>
          </w:p>
        </w:tc>
        <w:tc>
          <w:tcPr>
            <w:tcW w:w="2610" w:type="dxa"/>
            <w:shd w:val="clear" w:color="auto" w:fill="auto"/>
            <w:vAlign w:val="center"/>
          </w:tcPr>
          <w:p w14:paraId="7D38A3C3" w14:textId="77777777" w:rsidR="008F448F" w:rsidRPr="008F0791" w:rsidRDefault="008F448F" w:rsidP="008F0791">
            <w:pPr>
              <w:widowControl/>
              <w:autoSpaceDE/>
              <w:autoSpaceDN/>
              <w:adjustRightInd/>
              <w:jc w:val="center"/>
              <w:rPr>
                <w:color w:val="333333"/>
              </w:rPr>
            </w:pPr>
          </w:p>
        </w:tc>
        <w:tc>
          <w:tcPr>
            <w:tcW w:w="1260" w:type="dxa"/>
            <w:shd w:val="clear" w:color="auto" w:fill="auto"/>
            <w:vAlign w:val="center"/>
          </w:tcPr>
          <w:p w14:paraId="00EF6C86" w14:textId="77777777" w:rsidR="008F448F" w:rsidRPr="008F0791" w:rsidRDefault="008F448F" w:rsidP="008F0791">
            <w:pPr>
              <w:jc w:val="center"/>
              <w:rPr>
                <w:b/>
              </w:rPr>
            </w:pPr>
            <w:r w:rsidRPr="008F0791">
              <w:rPr>
                <w:b/>
              </w:rPr>
              <w:t>Zone 1</w:t>
            </w:r>
          </w:p>
        </w:tc>
        <w:tc>
          <w:tcPr>
            <w:tcW w:w="1260" w:type="dxa"/>
            <w:shd w:val="clear" w:color="auto" w:fill="auto"/>
            <w:vAlign w:val="center"/>
          </w:tcPr>
          <w:p w14:paraId="7C230DBE" w14:textId="77777777" w:rsidR="008F448F" w:rsidRPr="008F0791" w:rsidRDefault="008F448F" w:rsidP="008F0791">
            <w:pPr>
              <w:jc w:val="center"/>
              <w:rPr>
                <w:b/>
              </w:rPr>
            </w:pPr>
            <w:r w:rsidRPr="008F0791">
              <w:rPr>
                <w:b/>
              </w:rPr>
              <w:t>Zones 2 &amp; 5</w:t>
            </w:r>
          </w:p>
        </w:tc>
        <w:tc>
          <w:tcPr>
            <w:tcW w:w="1260" w:type="dxa"/>
            <w:shd w:val="clear" w:color="auto" w:fill="auto"/>
            <w:vAlign w:val="center"/>
          </w:tcPr>
          <w:p w14:paraId="67D333A6" w14:textId="77777777" w:rsidR="008F448F" w:rsidRPr="008F0791" w:rsidRDefault="008F448F" w:rsidP="008F0791">
            <w:pPr>
              <w:jc w:val="center"/>
              <w:rPr>
                <w:b/>
              </w:rPr>
            </w:pPr>
            <w:r w:rsidRPr="008F0791">
              <w:rPr>
                <w:b/>
              </w:rPr>
              <w:t>Zone 3</w:t>
            </w:r>
          </w:p>
        </w:tc>
        <w:tc>
          <w:tcPr>
            <w:tcW w:w="1278" w:type="dxa"/>
            <w:shd w:val="clear" w:color="auto" w:fill="auto"/>
            <w:vAlign w:val="center"/>
          </w:tcPr>
          <w:p w14:paraId="2C7155D3" w14:textId="77777777" w:rsidR="008F448F" w:rsidRPr="008F0791" w:rsidRDefault="008F448F" w:rsidP="008F0791">
            <w:pPr>
              <w:jc w:val="center"/>
              <w:rPr>
                <w:b/>
              </w:rPr>
            </w:pPr>
            <w:r w:rsidRPr="008F0791">
              <w:rPr>
                <w:b/>
              </w:rPr>
              <w:t>Zones 4 &amp; 6</w:t>
            </w:r>
          </w:p>
        </w:tc>
      </w:tr>
      <w:tr w:rsidR="008F0791" w:rsidRPr="008F0791" w14:paraId="5540B4E5" w14:textId="77777777" w:rsidTr="008F0791">
        <w:tc>
          <w:tcPr>
            <w:tcW w:w="1908" w:type="dxa"/>
            <w:shd w:val="clear" w:color="auto" w:fill="auto"/>
            <w:vAlign w:val="center"/>
          </w:tcPr>
          <w:p w14:paraId="0F5E2DC0" w14:textId="77777777" w:rsidR="008F448F" w:rsidRPr="008F0791" w:rsidRDefault="008F448F" w:rsidP="008F0791">
            <w:pPr>
              <w:widowControl/>
              <w:autoSpaceDE/>
              <w:autoSpaceDN/>
              <w:adjustRightInd/>
              <w:jc w:val="center"/>
              <w:rPr>
                <w:color w:val="333333"/>
              </w:rPr>
            </w:pPr>
            <w:r w:rsidRPr="008F0791">
              <w:rPr>
                <w:color w:val="333333"/>
              </w:rPr>
              <w:t>No. 2 &amp; lighter</w:t>
            </w:r>
          </w:p>
        </w:tc>
        <w:tc>
          <w:tcPr>
            <w:tcW w:w="2610" w:type="dxa"/>
            <w:shd w:val="clear" w:color="auto" w:fill="auto"/>
            <w:vAlign w:val="center"/>
          </w:tcPr>
          <w:p w14:paraId="2B0DE14A" w14:textId="77777777" w:rsidR="008F448F" w:rsidRPr="008F0791" w:rsidRDefault="008F448F" w:rsidP="008F0791">
            <w:pPr>
              <w:widowControl/>
              <w:autoSpaceDE/>
              <w:autoSpaceDN/>
              <w:adjustRightInd/>
              <w:jc w:val="center"/>
              <w:rPr>
                <w:color w:val="333333"/>
              </w:rPr>
            </w:pPr>
            <w:r w:rsidRPr="008F0791">
              <w:rPr>
                <w:color w:val="333333"/>
              </w:rPr>
              <w:t>Less than or equal to 45, including gases</w:t>
            </w:r>
          </w:p>
        </w:tc>
        <w:tc>
          <w:tcPr>
            <w:tcW w:w="1260" w:type="dxa"/>
            <w:shd w:val="clear" w:color="auto" w:fill="auto"/>
            <w:vAlign w:val="center"/>
          </w:tcPr>
          <w:p w14:paraId="4E8892BF" w14:textId="77777777" w:rsidR="008F448F" w:rsidRPr="00BC03A3" w:rsidRDefault="008F448F" w:rsidP="008F0791">
            <w:pPr>
              <w:jc w:val="center"/>
            </w:pPr>
            <w:r w:rsidRPr="00BC03A3">
              <w:t>3,000</w:t>
            </w:r>
          </w:p>
        </w:tc>
        <w:tc>
          <w:tcPr>
            <w:tcW w:w="1260" w:type="dxa"/>
            <w:shd w:val="clear" w:color="auto" w:fill="auto"/>
            <w:vAlign w:val="center"/>
          </w:tcPr>
          <w:p w14:paraId="6872926F" w14:textId="77777777" w:rsidR="008F448F" w:rsidRPr="00BC03A3" w:rsidRDefault="008F448F" w:rsidP="008F0791">
            <w:pPr>
              <w:jc w:val="center"/>
            </w:pPr>
            <w:r w:rsidRPr="00BC03A3">
              <w:t>3,000</w:t>
            </w:r>
          </w:p>
        </w:tc>
        <w:tc>
          <w:tcPr>
            <w:tcW w:w="1260" w:type="dxa"/>
            <w:shd w:val="clear" w:color="auto" w:fill="auto"/>
            <w:vAlign w:val="center"/>
          </w:tcPr>
          <w:p w14:paraId="0E689F7E" w14:textId="77777777" w:rsidR="008F448F" w:rsidRPr="00BC03A3" w:rsidRDefault="008F448F" w:rsidP="008F0791">
            <w:pPr>
              <w:jc w:val="center"/>
            </w:pPr>
            <w:r w:rsidRPr="00BC03A3">
              <w:t>2,000</w:t>
            </w:r>
          </w:p>
        </w:tc>
        <w:tc>
          <w:tcPr>
            <w:tcW w:w="1278" w:type="dxa"/>
            <w:shd w:val="clear" w:color="auto" w:fill="auto"/>
            <w:vAlign w:val="center"/>
          </w:tcPr>
          <w:p w14:paraId="5EBB5F37" w14:textId="77777777" w:rsidR="008F448F" w:rsidRDefault="008F448F" w:rsidP="008F0791">
            <w:pPr>
              <w:jc w:val="center"/>
            </w:pPr>
            <w:r w:rsidRPr="00BC03A3">
              <w:t>2,000</w:t>
            </w:r>
          </w:p>
        </w:tc>
      </w:tr>
      <w:tr w:rsidR="008F0791" w:rsidRPr="008F0791" w14:paraId="5C52BFDF" w14:textId="77777777" w:rsidTr="008F0791">
        <w:tc>
          <w:tcPr>
            <w:tcW w:w="1908" w:type="dxa"/>
            <w:shd w:val="clear" w:color="auto" w:fill="auto"/>
            <w:vAlign w:val="center"/>
          </w:tcPr>
          <w:p w14:paraId="2E688EF5" w14:textId="77777777" w:rsidR="008F448F" w:rsidRPr="008F0791" w:rsidRDefault="008F448F" w:rsidP="008F0791">
            <w:pPr>
              <w:widowControl/>
              <w:autoSpaceDE/>
              <w:autoSpaceDN/>
              <w:adjustRightInd/>
              <w:jc w:val="center"/>
              <w:rPr>
                <w:color w:val="333333"/>
              </w:rPr>
            </w:pPr>
            <w:r w:rsidRPr="008F0791">
              <w:rPr>
                <w:color w:val="333333"/>
              </w:rPr>
              <w:t>No. 4</w:t>
            </w:r>
          </w:p>
        </w:tc>
        <w:tc>
          <w:tcPr>
            <w:tcW w:w="2610" w:type="dxa"/>
            <w:shd w:val="clear" w:color="auto" w:fill="auto"/>
            <w:vAlign w:val="center"/>
          </w:tcPr>
          <w:p w14:paraId="7C4117B4" w14:textId="77777777" w:rsidR="008F448F" w:rsidRPr="008F0791" w:rsidRDefault="008F448F" w:rsidP="008F0791">
            <w:pPr>
              <w:widowControl/>
              <w:autoSpaceDE/>
              <w:autoSpaceDN/>
              <w:adjustRightInd/>
              <w:jc w:val="center"/>
              <w:rPr>
                <w:color w:val="333333"/>
              </w:rPr>
            </w:pPr>
            <w:r w:rsidRPr="008F0791">
              <w:rPr>
                <w:color w:val="333333"/>
              </w:rPr>
              <w:t>Greater than 45 but less than 145</w:t>
            </w:r>
          </w:p>
        </w:tc>
        <w:tc>
          <w:tcPr>
            <w:tcW w:w="1260" w:type="dxa"/>
            <w:shd w:val="clear" w:color="auto" w:fill="auto"/>
            <w:vAlign w:val="center"/>
          </w:tcPr>
          <w:p w14:paraId="68375843" w14:textId="77777777" w:rsidR="008F448F" w:rsidRPr="008941FF" w:rsidRDefault="008F448F" w:rsidP="008F0791">
            <w:pPr>
              <w:jc w:val="center"/>
            </w:pPr>
            <w:r w:rsidRPr="008941FF">
              <w:t>20,000</w:t>
            </w:r>
          </w:p>
        </w:tc>
        <w:tc>
          <w:tcPr>
            <w:tcW w:w="1260" w:type="dxa"/>
            <w:shd w:val="clear" w:color="auto" w:fill="auto"/>
            <w:vAlign w:val="center"/>
          </w:tcPr>
          <w:p w14:paraId="2E41F68E" w14:textId="77777777" w:rsidR="008F448F" w:rsidRPr="008941FF" w:rsidRDefault="008F448F" w:rsidP="008F0791">
            <w:pPr>
              <w:jc w:val="center"/>
            </w:pPr>
            <w:r w:rsidRPr="008941FF">
              <w:t>7,000</w:t>
            </w:r>
          </w:p>
        </w:tc>
        <w:tc>
          <w:tcPr>
            <w:tcW w:w="1260" w:type="dxa"/>
            <w:shd w:val="clear" w:color="auto" w:fill="auto"/>
            <w:vAlign w:val="center"/>
          </w:tcPr>
          <w:p w14:paraId="339C74DC" w14:textId="77777777" w:rsidR="008F448F" w:rsidRPr="008941FF" w:rsidRDefault="008F448F" w:rsidP="008F0791">
            <w:pPr>
              <w:jc w:val="center"/>
            </w:pPr>
            <w:r w:rsidRPr="008941FF">
              <w:t>3,000</w:t>
            </w:r>
          </w:p>
        </w:tc>
        <w:tc>
          <w:tcPr>
            <w:tcW w:w="1278" w:type="dxa"/>
            <w:shd w:val="clear" w:color="auto" w:fill="auto"/>
            <w:vAlign w:val="center"/>
          </w:tcPr>
          <w:p w14:paraId="143BFC82" w14:textId="77777777" w:rsidR="008F448F" w:rsidRDefault="008F448F" w:rsidP="008F0791">
            <w:pPr>
              <w:jc w:val="center"/>
            </w:pPr>
            <w:r w:rsidRPr="008941FF">
              <w:t>3,000</w:t>
            </w:r>
          </w:p>
        </w:tc>
      </w:tr>
      <w:tr w:rsidR="008F0791" w:rsidRPr="008F0791" w14:paraId="5C650EB2" w14:textId="77777777" w:rsidTr="008F0791">
        <w:tc>
          <w:tcPr>
            <w:tcW w:w="1908" w:type="dxa"/>
            <w:shd w:val="clear" w:color="auto" w:fill="auto"/>
            <w:vAlign w:val="center"/>
          </w:tcPr>
          <w:p w14:paraId="6D97B423" w14:textId="77777777" w:rsidR="008F448F" w:rsidRPr="008F0791" w:rsidRDefault="008F448F" w:rsidP="008F0791">
            <w:pPr>
              <w:widowControl/>
              <w:autoSpaceDE/>
              <w:autoSpaceDN/>
              <w:adjustRightInd/>
              <w:jc w:val="center"/>
              <w:rPr>
                <w:color w:val="333333"/>
              </w:rPr>
            </w:pPr>
            <w:r w:rsidRPr="008F0791">
              <w:rPr>
                <w:color w:val="333333"/>
              </w:rPr>
              <w:t>No. 5, No. 6 &amp; heavier</w:t>
            </w:r>
          </w:p>
        </w:tc>
        <w:tc>
          <w:tcPr>
            <w:tcW w:w="2610" w:type="dxa"/>
            <w:shd w:val="clear" w:color="auto" w:fill="auto"/>
            <w:vAlign w:val="center"/>
          </w:tcPr>
          <w:p w14:paraId="6FE692A8" w14:textId="77777777" w:rsidR="008F448F" w:rsidRPr="008F0791" w:rsidRDefault="008F448F" w:rsidP="008F0791">
            <w:pPr>
              <w:widowControl/>
              <w:autoSpaceDE/>
              <w:autoSpaceDN/>
              <w:adjustRightInd/>
              <w:jc w:val="center"/>
              <w:rPr>
                <w:color w:val="333333"/>
              </w:rPr>
            </w:pPr>
            <w:r w:rsidRPr="008F0791">
              <w:rPr>
                <w:color w:val="333333"/>
              </w:rPr>
              <w:t>Equal to or greater than 145</w:t>
            </w:r>
          </w:p>
        </w:tc>
        <w:tc>
          <w:tcPr>
            <w:tcW w:w="1260" w:type="dxa"/>
            <w:shd w:val="clear" w:color="auto" w:fill="auto"/>
            <w:vAlign w:val="center"/>
          </w:tcPr>
          <w:p w14:paraId="7B951F41" w14:textId="77777777" w:rsidR="008F448F" w:rsidRPr="00BB0D79" w:rsidRDefault="008F448F" w:rsidP="008F0791">
            <w:pPr>
              <w:jc w:val="center"/>
            </w:pPr>
            <w:r w:rsidRPr="00BB0D79">
              <w:t>20,000</w:t>
            </w:r>
          </w:p>
        </w:tc>
        <w:tc>
          <w:tcPr>
            <w:tcW w:w="1260" w:type="dxa"/>
            <w:shd w:val="clear" w:color="auto" w:fill="auto"/>
            <w:vAlign w:val="center"/>
          </w:tcPr>
          <w:p w14:paraId="22DCF3EE" w14:textId="77777777" w:rsidR="008F448F" w:rsidRPr="00BB0D79" w:rsidRDefault="008F448F" w:rsidP="008F0791">
            <w:pPr>
              <w:jc w:val="center"/>
            </w:pPr>
            <w:r w:rsidRPr="00BB0D79">
              <w:t>10,000</w:t>
            </w:r>
          </w:p>
        </w:tc>
        <w:tc>
          <w:tcPr>
            <w:tcW w:w="1260" w:type="dxa"/>
            <w:shd w:val="clear" w:color="auto" w:fill="auto"/>
            <w:vAlign w:val="center"/>
          </w:tcPr>
          <w:p w14:paraId="1186B9EB" w14:textId="77777777" w:rsidR="008F448F" w:rsidRPr="00BB0D79" w:rsidRDefault="008F448F" w:rsidP="008F0791">
            <w:pPr>
              <w:jc w:val="center"/>
            </w:pPr>
            <w:r w:rsidRPr="00BB0D79">
              <w:t>5,000</w:t>
            </w:r>
          </w:p>
        </w:tc>
        <w:tc>
          <w:tcPr>
            <w:tcW w:w="1278" w:type="dxa"/>
            <w:shd w:val="clear" w:color="auto" w:fill="auto"/>
            <w:vAlign w:val="center"/>
          </w:tcPr>
          <w:p w14:paraId="789738A5" w14:textId="77777777" w:rsidR="008F448F" w:rsidRDefault="008F448F" w:rsidP="008F0791">
            <w:pPr>
              <w:jc w:val="center"/>
            </w:pPr>
            <w:r w:rsidRPr="00BB0D79">
              <w:t>3,000</w:t>
            </w:r>
          </w:p>
        </w:tc>
      </w:tr>
    </w:tbl>
    <w:p w14:paraId="2BF1AD24" w14:textId="77777777" w:rsidR="008F448F" w:rsidRDefault="008F448F" w:rsidP="00155749">
      <w:pPr>
        <w:widowControl/>
        <w:autoSpaceDE/>
        <w:autoSpaceDN/>
        <w:adjustRightInd/>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10"/>
        <w:gridCol w:w="1260"/>
        <w:gridCol w:w="1260"/>
        <w:gridCol w:w="1260"/>
        <w:gridCol w:w="1278"/>
      </w:tblGrid>
      <w:tr w:rsidR="00650EDF" w:rsidRPr="008F0791" w14:paraId="21627EE3" w14:textId="77777777" w:rsidTr="008F0791">
        <w:tc>
          <w:tcPr>
            <w:tcW w:w="9576" w:type="dxa"/>
            <w:gridSpan w:val="6"/>
            <w:shd w:val="clear" w:color="auto" w:fill="auto"/>
            <w:vAlign w:val="center"/>
          </w:tcPr>
          <w:p w14:paraId="718BF5D2" w14:textId="77777777" w:rsidR="00650EDF" w:rsidRPr="008F0791" w:rsidRDefault="00650EDF" w:rsidP="008F0791">
            <w:pPr>
              <w:widowControl/>
              <w:autoSpaceDE/>
              <w:autoSpaceDN/>
              <w:adjustRightInd/>
              <w:jc w:val="center"/>
              <w:rPr>
                <w:b/>
                <w:color w:val="333333"/>
              </w:rPr>
            </w:pPr>
            <w:r w:rsidRPr="008F0791">
              <w:rPr>
                <w:b/>
                <w:color w:val="333333"/>
              </w:rPr>
              <w:t>TABLE 1B</w:t>
            </w:r>
          </w:p>
        </w:tc>
      </w:tr>
      <w:tr w:rsidR="00650EDF" w:rsidRPr="008F0791" w14:paraId="529B038D" w14:textId="77777777" w:rsidTr="008F0791">
        <w:tc>
          <w:tcPr>
            <w:tcW w:w="9576" w:type="dxa"/>
            <w:gridSpan w:val="6"/>
            <w:shd w:val="clear" w:color="auto" w:fill="auto"/>
            <w:vAlign w:val="center"/>
          </w:tcPr>
          <w:p w14:paraId="5AAA9F35" w14:textId="77777777" w:rsidR="00650EDF" w:rsidRPr="008F0791" w:rsidRDefault="00650EDF" w:rsidP="008F0791">
            <w:pPr>
              <w:widowControl/>
              <w:autoSpaceDE/>
              <w:autoSpaceDN/>
              <w:adjustRightInd/>
              <w:jc w:val="center"/>
              <w:rPr>
                <w:b/>
                <w:color w:val="333333"/>
              </w:rPr>
            </w:pPr>
            <w:r w:rsidRPr="008F0791">
              <w:rPr>
                <w:b/>
                <w:color w:val="333333"/>
              </w:rPr>
              <w:t>MAXIMUM ALLOWABLE SULFUR IN FUEL EFFECTIVE JULY 1, 2014</w:t>
            </w:r>
          </w:p>
          <w:p w14:paraId="5EAA9ECD" w14:textId="77777777" w:rsidR="00650EDF" w:rsidRPr="008F0791" w:rsidRDefault="00650EDF" w:rsidP="008F0791">
            <w:pPr>
              <w:widowControl/>
              <w:autoSpaceDE/>
              <w:autoSpaceDN/>
              <w:adjustRightInd/>
              <w:jc w:val="center"/>
              <w:rPr>
                <w:b/>
                <w:color w:val="333333"/>
              </w:rPr>
            </w:pPr>
            <w:r w:rsidRPr="008F0791">
              <w:rPr>
                <w:b/>
                <w:color w:val="333333"/>
              </w:rPr>
              <w:t>AND JULY 1, 2016</w:t>
            </w:r>
          </w:p>
        </w:tc>
      </w:tr>
      <w:tr w:rsidR="00650EDF" w:rsidRPr="008F0791" w14:paraId="7EFF695B" w14:textId="77777777" w:rsidTr="008F0791">
        <w:tc>
          <w:tcPr>
            <w:tcW w:w="1908" w:type="dxa"/>
            <w:shd w:val="clear" w:color="auto" w:fill="auto"/>
            <w:vAlign w:val="center"/>
          </w:tcPr>
          <w:p w14:paraId="1FE41356" w14:textId="77777777" w:rsidR="00650EDF" w:rsidRPr="008F0791" w:rsidRDefault="00650EDF" w:rsidP="008F0791">
            <w:pPr>
              <w:widowControl/>
              <w:autoSpaceDE/>
              <w:autoSpaceDN/>
              <w:adjustRightInd/>
              <w:jc w:val="center"/>
              <w:rPr>
                <w:b/>
                <w:color w:val="333333"/>
              </w:rPr>
            </w:pPr>
            <w:r w:rsidRPr="008F0791">
              <w:rPr>
                <w:b/>
                <w:color w:val="333333"/>
              </w:rPr>
              <w:t>Typical Grades of Fuel Oil</w:t>
            </w:r>
          </w:p>
        </w:tc>
        <w:tc>
          <w:tcPr>
            <w:tcW w:w="2610" w:type="dxa"/>
            <w:shd w:val="clear" w:color="auto" w:fill="auto"/>
            <w:vAlign w:val="center"/>
          </w:tcPr>
          <w:p w14:paraId="0BC69F4A" w14:textId="77777777" w:rsidR="00650EDF" w:rsidRPr="008F0791" w:rsidRDefault="00650EDF" w:rsidP="008F0791">
            <w:pPr>
              <w:widowControl/>
              <w:autoSpaceDE/>
              <w:autoSpaceDN/>
              <w:adjustRightInd/>
              <w:jc w:val="center"/>
              <w:rPr>
                <w:b/>
                <w:color w:val="333333"/>
              </w:rPr>
            </w:pPr>
            <w:r w:rsidRPr="008F0791">
              <w:rPr>
                <w:b/>
                <w:color w:val="333333"/>
              </w:rPr>
              <w:t>Classification by SSU Viscosity at 100°F</w:t>
            </w:r>
          </w:p>
        </w:tc>
        <w:tc>
          <w:tcPr>
            <w:tcW w:w="5058" w:type="dxa"/>
            <w:gridSpan w:val="4"/>
            <w:shd w:val="clear" w:color="auto" w:fill="auto"/>
            <w:vAlign w:val="center"/>
          </w:tcPr>
          <w:p w14:paraId="5DD99393" w14:textId="77777777" w:rsidR="00650EDF" w:rsidRPr="008F0791" w:rsidRDefault="00650EDF" w:rsidP="008F0791">
            <w:pPr>
              <w:widowControl/>
              <w:autoSpaceDE/>
              <w:autoSpaceDN/>
              <w:adjustRightInd/>
              <w:jc w:val="center"/>
              <w:rPr>
                <w:b/>
                <w:color w:val="333333"/>
              </w:rPr>
            </w:pPr>
            <w:r w:rsidRPr="008F0791">
              <w:rPr>
                <w:b/>
                <w:color w:val="333333"/>
              </w:rPr>
              <w:t>Parts per Million by Weight (ppm)</w:t>
            </w:r>
          </w:p>
        </w:tc>
      </w:tr>
      <w:tr w:rsidR="008F0791" w14:paraId="323CCC81" w14:textId="77777777" w:rsidTr="008F0791">
        <w:tc>
          <w:tcPr>
            <w:tcW w:w="1908" w:type="dxa"/>
            <w:shd w:val="clear" w:color="auto" w:fill="auto"/>
            <w:vAlign w:val="center"/>
          </w:tcPr>
          <w:p w14:paraId="2779CB09" w14:textId="77777777" w:rsidR="008F448F" w:rsidRPr="008F0791" w:rsidRDefault="008F448F" w:rsidP="008F0791">
            <w:pPr>
              <w:widowControl/>
              <w:autoSpaceDE/>
              <w:autoSpaceDN/>
              <w:adjustRightInd/>
              <w:jc w:val="center"/>
              <w:rPr>
                <w:color w:val="333333"/>
              </w:rPr>
            </w:pPr>
          </w:p>
        </w:tc>
        <w:tc>
          <w:tcPr>
            <w:tcW w:w="2610" w:type="dxa"/>
            <w:shd w:val="clear" w:color="auto" w:fill="auto"/>
            <w:vAlign w:val="center"/>
          </w:tcPr>
          <w:p w14:paraId="066EDF3B" w14:textId="77777777" w:rsidR="008F448F" w:rsidRPr="008F0791" w:rsidRDefault="008F448F" w:rsidP="008F0791">
            <w:pPr>
              <w:widowControl/>
              <w:autoSpaceDE/>
              <w:autoSpaceDN/>
              <w:adjustRightInd/>
              <w:jc w:val="center"/>
              <w:rPr>
                <w:color w:val="333333"/>
              </w:rPr>
            </w:pPr>
          </w:p>
        </w:tc>
        <w:tc>
          <w:tcPr>
            <w:tcW w:w="1260" w:type="dxa"/>
            <w:shd w:val="clear" w:color="auto" w:fill="auto"/>
            <w:vAlign w:val="center"/>
          </w:tcPr>
          <w:p w14:paraId="66768E6F" w14:textId="77777777" w:rsidR="008F448F" w:rsidRPr="008F0791" w:rsidRDefault="008F448F" w:rsidP="008F0791">
            <w:pPr>
              <w:jc w:val="center"/>
              <w:rPr>
                <w:b/>
              </w:rPr>
            </w:pPr>
            <w:r w:rsidRPr="008F0791">
              <w:rPr>
                <w:b/>
              </w:rPr>
              <w:t>Zone 1</w:t>
            </w:r>
          </w:p>
        </w:tc>
        <w:tc>
          <w:tcPr>
            <w:tcW w:w="1260" w:type="dxa"/>
            <w:shd w:val="clear" w:color="auto" w:fill="auto"/>
            <w:vAlign w:val="center"/>
          </w:tcPr>
          <w:p w14:paraId="6D431469" w14:textId="77777777" w:rsidR="008F448F" w:rsidRPr="008F0791" w:rsidRDefault="008F448F" w:rsidP="008F0791">
            <w:pPr>
              <w:jc w:val="center"/>
              <w:rPr>
                <w:b/>
              </w:rPr>
            </w:pPr>
            <w:r w:rsidRPr="008F0791">
              <w:rPr>
                <w:b/>
              </w:rPr>
              <w:t>Zones 2 &amp; 5</w:t>
            </w:r>
          </w:p>
        </w:tc>
        <w:tc>
          <w:tcPr>
            <w:tcW w:w="1260" w:type="dxa"/>
            <w:shd w:val="clear" w:color="auto" w:fill="auto"/>
            <w:vAlign w:val="center"/>
          </w:tcPr>
          <w:p w14:paraId="4172E30D" w14:textId="77777777" w:rsidR="008F448F" w:rsidRPr="008F0791" w:rsidRDefault="008F448F" w:rsidP="008F0791">
            <w:pPr>
              <w:jc w:val="center"/>
              <w:rPr>
                <w:b/>
              </w:rPr>
            </w:pPr>
            <w:r w:rsidRPr="008F0791">
              <w:rPr>
                <w:b/>
              </w:rPr>
              <w:t>Zone 3</w:t>
            </w:r>
          </w:p>
        </w:tc>
        <w:tc>
          <w:tcPr>
            <w:tcW w:w="1278" w:type="dxa"/>
            <w:shd w:val="clear" w:color="auto" w:fill="auto"/>
            <w:vAlign w:val="center"/>
          </w:tcPr>
          <w:p w14:paraId="6F7D3A91" w14:textId="77777777" w:rsidR="008F448F" w:rsidRPr="008F0791" w:rsidRDefault="008F448F" w:rsidP="008F0791">
            <w:pPr>
              <w:jc w:val="center"/>
              <w:rPr>
                <w:b/>
              </w:rPr>
            </w:pPr>
            <w:r w:rsidRPr="008F0791">
              <w:rPr>
                <w:b/>
              </w:rPr>
              <w:t>Zones 4 &amp; 6</w:t>
            </w:r>
          </w:p>
        </w:tc>
      </w:tr>
      <w:tr w:rsidR="008F0791" w14:paraId="5C4DC3C2" w14:textId="77777777" w:rsidTr="008F0791">
        <w:tc>
          <w:tcPr>
            <w:tcW w:w="1908" w:type="dxa"/>
            <w:shd w:val="clear" w:color="auto" w:fill="auto"/>
            <w:vAlign w:val="center"/>
          </w:tcPr>
          <w:p w14:paraId="617E4634" w14:textId="77777777" w:rsidR="008F448F" w:rsidRPr="008F0791" w:rsidRDefault="008F448F" w:rsidP="008F0791">
            <w:pPr>
              <w:widowControl/>
              <w:autoSpaceDE/>
              <w:autoSpaceDN/>
              <w:adjustRightInd/>
              <w:jc w:val="center"/>
              <w:rPr>
                <w:color w:val="333333"/>
              </w:rPr>
            </w:pPr>
            <w:r w:rsidRPr="008F0791">
              <w:rPr>
                <w:color w:val="333333"/>
              </w:rPr>
              <w:t>No. 2 &amp; lighter</w:t>
            </w:r>
          </w:p>
          <w:p w14:paraId="445834D2" w14:textId="77777777" w:rsidR="008F448F" w:rsidRPr="008F0791" w:rsidRDefault="008F448F" w:rsidP="008F0791">
            <w:pPr>
              <w:widowControl/>
              <w:autoSpaceDE/>
              <w:autoSpaceDN/>
              <w:adjustRightInd/>
              <w:jc w:val="center"/>
              <w:rPr>
                <w:color w:val="333333"/>
              </w:rPr>
            </w:pPr>
            <w:r w:rsidRPr="008F0791">
              <w:rPr>
                <w:color w:val="333333"/>
              </w:rPr>
              <w:t>(effective July 1, 2014 through</w:t>
            </w:r>
          </w:p>
          <w:p w14:paraId="06EF46C4" w14:textId="77777777" w:rsidR="008F448F" w:rsidRPr="008F0791" w:rsidRDefault="008F448F" w:rsidP="008F0791">
            <w:pPr>
              <w:widowControl/>
              <w:autoSpaceDE/>
              <w:autoSpaceDN/>
              <w:adjustRightInd/>
              <w:jc w:val="center"/>
              <w:rPr>
                <w:color w:val="333333"/>
              </w:rPr>
            </w:pPr>
            <w:r w:rsidRPr="008F0791">
              <w:rPr>
                <w:color w:val="333333"/>
              </w:rPr>
              <w:t>June 30, 2016)</w:t>
            </w:r>
          </w:p>
        </w:tc>
        <w:tc>
          <w:tcPr>
            <w:tcW w:w="2610" w:type="dxa"/>
            <w:shd w:val="clear" w:color="auto" w:fill="auto"/>
            <w:vAlign w:val="center"/>
          </w:tcPr>
          <w:p w14:paraId="247A84F4" w14:textId="77777777" w:rsidR="008F448F" w:rsidRPr="008F0791" w:rsidRDefault="008F448F" w:rsidP="008F0791">
            <w:pPr>
              <w:widowControl/>
              <w:autoSpaceDE/>
              <w:autoSpaceDN/>
              <w:adjustRightInd/>
              <w:jc w:val="center"/>
              <w:rPr>
                <w:color w:val="333333"/>
              </w:rPr>
            </w:pPr>
            <w:r w:rsidRPr="008F0791">
              <w:rPr>
                <w:color w:val="333333"/>
              </w:rPr>
              <w:t>Less than or equal to 45, including gases</w:t>
            </w:r>
          </w:p>
        </w:tc>
        <w:tc>
          <w:tcPr>
            <w:tcW w:w="1260" w:type="dxa"/>
            <w:shd w:val="clear" w:color="auto" w:fill="auto"/>
            <w:vAlign w:val="center"/>
          </w:tcPr>
          <w:p w14:paraId="0B4B3D84" w14:textId="77777777" w:rsidR="008F448F" w:rsidRPr="00BC03A3" w:rsidRDefault="008F448F" w:rsidP="008F0791">
            <w:pPr>
              <w:jc w:val="center"/>
            </w:pPr>
            <w:r>
              <w:t>5</w:t>
            </w:r>
            <w:r w:rsidRPr="00BC03A3">
              <w:t>00</w:t>
            </w:r>
          </w:p>
        </w:tc>
        <w:tc>
          <w:tcPr>
            <w:tcW w:w="1260" w:type="dxa"/>
            <w:shd w:val="clear" w:color="auto" w:fill="auto"/>
            <w:vAlign w:val="center"/>
          </w:tcPr>
          <w:p w14:paraId="60839F42" w14:textId="77777777" w:rsidR="008F448F" w:rsidRPr="00BC03A3" w:rsidRDefault="008F448F" w:rsidP="008F0791">
            <w:pPr>
              <w:jc w:val="center"/>
            </w:pPr>
            <w:r>
              <w:t>5</w:t>
            </w:r>
            <w:r w:rsidRPr="00BC03A3">
              <w:t>00</w:t>
            </w:r>
          </w:p>
        </w:tc>
        <w:tc>
          <w:tcPr>
            <w:tcW w:w="1260" w:type="dxa"/>
            <w:shd w:val="clear" w:color="auto" w:fill="auto"/>
            <w:vAlign w:val="center"/>
          </w:tcPr>
          <w:p w14:paraId="34818A8F" w14:textId="77777777" w:rsidR="008F448F" w:rsidRPr="00BC03A3" w:rsidRDefault="008F448F" w:rsidP="008F0791">
            <w:pPr>
              <w:jc w:val="center"/>
            </w:pPr>
            <w:r>
              <w:t>5</w:t>
            </w:r>
            <w:r w:rsidRPr="00BC03A3">
              <w:t>00</w:t>
            </w:r>
          </w:p>
        </w:tc>
        <w:tc>
          <w:tcPr>
            <w:tcW w:w="1278" w:type="dxa"/>
            <w:shd w:val="clear" w:color="auto" w:fill="auto"/>
            <w:vAlign w:val="center"/>
          </w:tcPr>
          <w:p w14:paraId="68AD52C8" w14:textId="77777777" w:rsidR="008F448F" w:rsidRDefault="008F448F" w:rsidP="008F0791">
            <w:pPr>
              <w:jc w:val="center"/>
            </w:pPr>
            <w:r>
              <w:t>5</w:t>
            </w:r>
            <w:r w:rsidRPr="00BC03A3">
              <w:t>00</w:t>
            </w:r>
          </w:p>
        </w:tc>
      </w:tr>
      <w:tr w:rsidR="008F0791" w14:paraId="0FC57074" w14:textId="77777777" w:rsidTr="008F0791">
        <w:tc>
          <w:tcPr>
            <w:tcW w:w="1908" w:type="dxa"/>
            <w:shd w:val="clear" w:color="auto" w:fill="auto"/>
            <w:vAlign w:val="center"/>
          </w:tcPr>
          <w:p w14:paraId="2E5BC20B" w14:textId="77777777" w:rsidR="008F448F" w:rsidRPr="008F0791" w:rsidRDefault="008F448F" w:rsidP="008F0791">
            <w:pPr>
              <w:widowControl/>
              <w:autoSpaceDE/>
              <w:autoSpaceDN/>
              <w:adjustRightInd/>
              <w:jc w:val="center"/>
              <w:rPr>
                <w:color w:val="333333"/>
              </w:rPr>
            </w:pPr>
            <w:r w:rsidRPr="008F0791">
              <w:rPr>
                <w:color w:val="333333"/>
              </w:rPr>
              <w:t>No. 2 &amp; lighter</w:t>
            </w:r>
          </w:p>
          <w:p w14:paraId="112FEE4D" w14:textId="77777777" w:rsidR="008F448F" w:rsidRPr="008F0791" w:rsidRDefault="008F448F" w:rsidP="008F0791">
            <w:pPr>
              <w:widowControl/>
              <w:autoSpaceDE/>
              <w:autoSpaceDN/>
              <w:adjustRightInd/>
              <w:jc w:val="center"/>
              <w:rPr>
                <w:color w:val="333333"/>
              </w:rPr>
            </w:pPr>
            <w:r w:rsidRPr="008F0791">
              <w:rPr>
                <w:color w:val="333333"/>
              </w:rPr>
              <w:t>(effective July 1, 2016)</w:t>
            </w:r>
          </w:p>
        </w:tc>
        <w:tc>
          <w:tcPr>
            <w:tcW w:w="2610" w:type="dxa"/>
            <w:shd w:val="clear" w:color="auto" w:fill="auto"/>
            <w:vAlign w:val="center"/>
          </w:tcPr>
          <w:p w14:paraId="76D5AC54" w14:textId="77777777" w:rsidR="008F448F" w:rsidRPr="008F0791" w:rsidRDefault="008F448F" w:rsidP="008F0791">
            <w:pPr>
              <w:widowControl/>
              <w:autoSpaceDE/>
              <w:autoSpaceDN/>
              <w:adjustRightInd/>
              <w:jc w:val="center"/>
              <w:rPr>
                <w:color w:val="333333"/>
              </w:rPr>
            </w:pPr>
            <w:r w:rsidRPr="008F0791">
              <w:rPr>
                <w:color w:val="333333"/>
              </w:rPr>
              <w:t>Less than or equal to 45, including gases</w:t>
            </w:r>
          </w:p>
        </w:tc>
        <w:tc>
          <w:tcPr>
            <w:tcW w:w="1260" w:type="dxa"/>
            <w:shd w:val="clear" w:color="auto" w:fill="auto"/>
            <w:vAlign w:val="center"/>
          </w:tcPr>
          <w:p w14:paraId="7E4100BB" w14:textId="77777777" w:rsidR="008F448F" w:rsidRPr="008941FF" w:rsidRDefault="008F448F" w:rsidP="008F0791">
            <w:pPr>
              <w:jc w:val="center"/>
            </w:pPr>
            <w:r>
              <w:t>15.0</w:t>
            </w:r>
          </w:p>
        </w:tc>
        <w:tc>
          <w:tcPr>
            <w:tcW w:w="1260" w:type="dxa"/>
            <w:shd w:val="clear" w:color="auto" w:fill="auto"/>
            <w:vAlign w:val="center"/>
          </w:tcPr>
          <w:p w14:paraId="1EC60DA2" w14:textId="77777777" w:rsidR="008F448F" w:rsidRPr="008941FF" w:rsidRDefault="008F448F" w:rsidP="008F0791">
            <w:pPr>
              <w:jc w:val="center"/>
            </w:pPr>
            <w:r>
              <w:t>15.0</w:t>
            </w:r>
          </w:p>
        </w:tc>
        <w:tc>
          <w:tcPr>
            <w:tcW w:w="1260" w:type="dxa"/>
            <w:shd w:val="clear" w:color="auto" w:fill="auto"/>
            <w:vAlign w:val="center"/>
          </w:tcPr>
          <w:p w14:paraId="2F05B188" w14:textId="77777777" w:rsidR="008F448F" w:rsidRPr="008941FF" w:rsidRDefault="008F448F" w:rsidP="008F0791">
            <w:pPr>
              <w:jc w:val="center"/>
            </w:pPr>
            <w:r>
              <w:t>15.0</w:t>
            </w:r>
          </w:p>
        </w:tc>
        <w:tc>
          <w:tcPr>
            <w:tcW w:w="1278" w:type="dxa"/>
            <w:shd w:val="clear" w:color="auto" w:fill="auto"/>
            <w:vAlign w:val="center"/>
          </w:tcPr>
          <w:p w14:paraId="0878724C" w14:textId="77777777" w:rsidR="008F448F" w:rsidRPr="008941FF" w:rsidRDefault="008F448F" w:rsidP="008F0791">
            <w:pPr>
              <w:jc w:val="center"/>
            </w:pPr>
            <w:r>
              <w:t>15.0</w:t>
            </w:r>
          </w:p>
        </w:tc>
      </w:tr>
      <w:tr w:rsidR="008F0791" w14:paraId="14F9A278" w14:textId="77777777" w:rsidTr="008F0791">
        <w:tc>
          <w:tcPr>
            <w:tcW w:w="1908" w:type="dxa"/>
            <w:shd w:val="clear" w:color="auto" w:fill="auto"/>
            <w:vAlign w:val="center"/>
          </w:tcPr>
          <w:p w14:paraId="2477D760" w14:textId="77777777" w:rsidR="008F448F" w:rsidRPr="008F0791" w:rsidRDefault="008F448F" w:rsidP="008F0791">
            <w:pPr>
              <w:widowControl/>
              <w:autoSpaceDE/>
              <w:autoSpaceDN/>
              <w:adjustRightInd/>
              <w:jc w:val="center"/>
              <w:rPr>
                <w:color w:val="333333"/>
              </w:rPr>
            </w:pPr>
            <w:r w:rsidRPr="008F0791">
              <w:rPr>
                <w:color w:val="333333"/>
              </w:rPr>
              <w:t>No. 4</w:t>
            </w:r>
          </w:p>
          <w:p w14:paraId="248E516C" w14:textId="77777777" w:rsidR="008F448F" w:rsidRPr="008F0791" w:rsidRDefault="008F448F" w:rsidP="008F0791">
            <w:pPr>
              <w:widowControl/>
              <w:autoSpaceDE/>
              <w:autoSpaceDN/>
              <w:adjustRightInd/>
              <w:jc w:val="center"/>
              <w:rPr>
                <w:color w:val="333333"/>
              </w:rPr>
            </w:pPr>
            <w:r w:rsidRPr="008F0791">
              <w:rPr>
                <w:color w:val="333333"/>
              </w:rPr>
              <w:t>(effective July 1, 2014)</w:t>
            </w:r>
          </w:p>
        </w:tc>
        <w:tc>
          <w:tcPr>
            <w:tcW w:w="2610" w:type="dxa"/>
            <w:shd w:val="clear" w:color="auto" w:fill="auto"/>
            <w:vAlign w:val="center"/>
          </w:tcPr>
          <w:p w14:paraId="02D66405" w14:textId="77777777" w:rsidR="008F448F" w:rsidRPr="008F0791" w:rsidRDefault="008F448F" w:rsidP="008F0791">
            <w:pPr>
              <w:widowControl/>
              <w:autoSpaceDE/>
              <w:autoSpaceDN/>
              <w:adjustRightInd/>
              <w:jc w:val="center"/>
              <w:rPr>
                <w:color w:val="333333"/>
              </w:rPr>
            </w:pPr>
            <w:r w:rsidRPr="008F0791">
              <w:rPr>
                <w:color w:val="333333"/>
              </w:rPr>
              <w:t>Greater than 45 but less than 145</w:t>
            </w:r>
          </w:p>
        </w:tc>
        <w:tc>
          <w:tcPr>
            <w:tcW w:w="1260" w:type="dxa"/>
            <w:shd w:val="clear" w:color="auto" w:fill="auto"/>
            <w:vAlign w:val="center"/>
          </w:tcPr>
          <w:p w14:paraId="75C7C7BD" w14:textId="77777777" w:rsidR="008F448F" w:rsidRPr="008941FF" w:rsidRDefault="008F448F" w:rsidP="008F0791">
            <w:pPr>
              <w:jc w:val="center"/>
            </w:pPr>
            <w:r>
              <w:t>2,500</w:t>
            </w:r>
          </w:p>
        </w:tc>
        <w:tc>
          <w:tcPr>
            <w:tcW w:w="1260" w:type="dxa"/>
            <w:shd w:val="clear" w:color="auto" w:fill="auto"/>
            <w:vAlign w:val="center"/>
          </w:tcPr>
          <w:p w14:paraId="0C469926" w14:textId="77777777" w:rsidR="008F448F" w:rsidRPr="008941FF" w:rsidRDefault="008F448F" w:rsidP="008F0791">
            <w:pPr>
              <w:jc w:val="center"/>
            </w:pPr>
            <w:r>
              <w:t>2,500</w:t>
            </w:r>
          </w:p>
        </w:tc>
        <w:tc>
          <w:tcPr>
            <w:tcW w:w="1260" w:type="dxa"/>
            <w:shd w:val="clear" w:color="auto" w:fill="auto"/>
            <w:vAlign w:val="center"/>
          </w:tcPr>
          <w:p w14:paraId="0B6DF830" w14:textId="77777777" w:rsidR="008F448F" w:rsidRPr="008941FF" w:rsidRDefault="008F448F" w:rsidP="008F0791">
            <w:pPr>
              <w:jc w:val="center"/>
            </w:pPr>
            <w:r>
              <w:t>2,500</w:t>
            </w:r>
          </w:p>
        </w:tc>
        <w:tc>
          <w:tcPr>
            <w:tcW w:w="1278" w:type="dxa"/>
            <w:shd w:val="clear" w:color="auto" w:fill="auto"/>
            <w:vAlign w:val="center"/>
          </w:tcPr>
          <w:p w14:paraId="14D6F174" w14:textId="77777777" w:rsidR="008F448F" w:rsidRDefault="008F448F" w:rsidP="008F0791">
            <w:pPr>
              <w:jc w:val="center"/>
            </w:pPr>
            <w:r>
              <w:t>2,500</w:t>
            </w:r>
          </w:p>
        </w:tc>
      </w:tr>
      <w:tr w:rsidR="008F0791" w14:paraId="3A738E59" w14:textId="77777777" w:rsidTr="008F0791">
        <w:tc>
          <w:tcPr>
            <w:tcW w:w="1908" w:type="dxa"/>
            <w:shd w:val="clear" w:color="auto" w:fill="auto"/>
            <w:vAlign w:val="center"/>
          </w:tcPr>
          <w:p w14:paraId="47DA9954" w14:textId="77777777" w:rsidR="008F448F" w:rsidRPr="008F0791" w:rsidRDefault="008F448F" w:rsidP="008F0791">
            <w:pPr>
              <w:widowControl/>
              <w:autoSpaceDE/>
              <w:autoSpaceDN/>
              <w:adjustRightInd/>
              <w:jc w:val="center"/>
              <w:rPr>
                <w:color w:val="333333"/>
              </w:rPr>
            </w:pPr>
            <w:r w:rsidRPr="008F0791">
              <w:rPr>
                <w:color w:val="333333"/>
              </w:rPr>
              <w:t>No. 5, No. 6 &amp; heavier</w:t>
            </w:r>
          </w:p>
          <w:p w14:paraId="28390D26" w14:textId="77777777" w:rsidR="008F448F" w:rsidRPr="008F0791" w:rsidRDefault="008F448F" w:rsidP="008F0791">
            <w:pPr>
              <w:widowControl/>
              <w:autoSpaceDE/>
              <w:autoSpaceDN/>
              <w:adjustRightInd/>
              <w:jc w:val="center"/>
              <w:rPr>
                <w:color w:val="333333"/>
              </w:rPr>
            </w:pPr>
            <w:r w:rsidRPr="008F0791">
              <w:rPr>
                <w:color w:val="333333"/>
              </w:rPr>
              <w:t>(effective July 1, 2014)</w:t>
            </w:r>
          </w:p>
        </w:tc>
        <w:tc>
          <w:tcPr>
            <w:tcW w:w="2610" w:type="dxa"/>
            <w:shd w:val="clear" w:color="auto" w:fill="auto"/>
            <w:vAlign w:val="center"/>
          </w:tcPr>
          <w:p w14:paraId="2FBA3848" w14:textId="77777777" w:rsidR="008F448F" w:rsidRPr="008F0791" w:rsidRDefault="008F448F" w:rsidP="008F0791">
            <w:pPr>
              <w:widowControl/>
              <w:autoSpaceDE/>
              <w:autoSpaceDN/>
              <w:adjustRightInd/>
              <w:jc w:val="center"/>
              <w:rPr>
                <w:color w:val="333333"/>
              </w:rPr>
            </w:pPr>
            <w:r w:rsidRPr="008F0791">
              <w:rPr>
                <w:color w:val="333333"/>
              </w:rPr>
              <w:t>Equal to or greater than 145</w:t>
            </w:r>
          </w:p>
        </w:tc>
        <w:tc>
          <w:tcPr>
            <w:tcW w:w="1260" w:type="dxa"/>
            <w:shd w:val="clear" w:color="auto" w:fill="auto"/>
            <w:vAlign w:val="center"/>
          </w:tcPr>
          <w:p w14:paraId="160DF4F4" w14:textId="77777777" w:rsidR="008F448F" w:rsidRPr="00BB0D79" w:rsidRDefault="008F448F" w:rsidP="008F0791">
            <w:pPr>
              <w:jc w:val="center"/>
            </w:pPr>
            <w:r>
              <w:t>5</w:t>
            </w:r>
            <w:r w:rsidRPr="00BB0D79">
              <w:t>,000</w:t>
            </w:r>
          </w:p>
        </w:tc>
        <w:tc>
          <w:tcPr>
            <w:tcW w:w="1260" w:type="dxa"/>
            <w:shd w:val="clear" w:color="auto" w:fill="auto"/>
            <w:vAlign w:val="center"/>
          </w:tcPr>
          <w:p w14:paraId="307B0377" w14:textId="77777777" w:rsidR="008F448F" w:rsidRPr="00BB0D79" w:rsidRDefault="008F448F" w:rsidP="008F0791">
            <w:pPr>
              <w:jc w:val="center"/>
            </w:pPr>
            <w:r>
              <w:t>5</w:t>
            </w:r>
            <w:r w:rsidRPr="00BB0D79">
              <w:t>,000</w:t>
            </w:r>
          </w:p>
        </w:tc>
        <w:tc>
          <w:tcPr>
            <w:tcW w:w="1260" w:type="dxa"/>
            <w:shd w:val="clear" w:color="auto" w:fill="auto"/>
            <w:vAlign w:val="center"/>
          </w:tcPr>
          <w:p w14:paraId="7A40C95D" w14:textId="77777777" w:rsidR="008F448F" w:rsidRPr="00BB0D79" w:rsidRDefault="008F448F" w:rsidP="008F0791">
            <w:pPr>
              <w:jc w:val="center"/>
            </w:pPr>
            <w:r w:rsidRPr="00BB0D79">
              <w:t>5,000</w:t>
            </w:r>
          </w:p>
        </w:tc>
        <w:tc>
          <w:tcPr>
            <w:tcW w:w="1278" w:type="dxa"/>
            <w:shd w:val="clear" w:color="auto" w:fill="auto"/>
            <w:vAlign w:val="center"/>
          </w:tcPr>
          <w:p w14:paraId="2279EC86" w14:textId="77777777" w:rsidR="008F448F" w:rsidRDefault="008F448F" w:rsidP="008F0791">
            <w:pPr>
              <w:jc w:val="center"/>
            </w:pPr>
            <w:r w:rsidRPr="00BB0D79">
              <w:t>3,000</w:t>
            </w:r>
          </w:p>
        </w:tc>
      </w:tr>
    </w:tbl>
    <w:p w14:paraId="7E28B29C" w14:textId="77777777" w:rsidR="008F448F" w:rsidRDefault="008F448F" w:rsidP="00196461">
      <w:pPr>
        <w:widowControl/>
        <w:autoSpaceDE/>
        <w:autoSpaceDN/>
        <w:adjustRightInd/>
        <w:ind w:left="720" w:hanging="720"/>
        <w:rPr>
          <w:color w:val="333333"/>
        </w:rPr>
      </w:pPr>
    </w:p>
    <w:p w14:paraId="7A591968" w14:textId="77777777" w:rsidR="007C2C84" w:rsidRDefault="00196461" w:rsidP="00196461">
      <w:pPr>
        <w:widowControl/>
        <w:autoSpaceDE/>
        <w:autoSpaceDN/>
        <w:adjustRightInd/>
        <w:ind w:left="720" w:hanging="720"/>
        <w:rPr>
          <w:color w:val="333333"/>
        </w:rPr>
      </w:pPr>
      <w:r>
        <w:rPr>
          <w:color w:val="333333"/>
        </w:rPr>
        <w:t>(c)</w:t>
      </w:r>
      <w:r>
        <w:rPr>
          <w:color w:val="333333"/>
        </w:rPr>
        <w:tab/>
      </w:r>
      <w:r w:rsidR="007C2C84" w:rsidRPr="007C2C84">
        <w:rPr>
          <w:color w:val="333333"/>
        </w:rPr>
        <w:t>The provisions of (a) and (b) above shall not apply to</w:t>
      </w:r>
      <w:r w:rsidR="005B3FC1">
        <w:rPr>
          <w:color w:val="333333"/>
        </w:rPr>
        <w:t xml:space="preserve"> fuels whose combustion carries </w:t>
      </w:r>
      <w:r w:rsidR="007C2C84" w:rsidRPr="007C2C84">
        <w:rPr>
          <w:color w:val="333333"/>
        </w:rPr>
        <w:t xml:space="preserve">sulfur dioxide emissions from any stack or chimney into </w:t>
      </w:r>
      <w:r w:rsidR="005B3FC1">
        <w:rPr>
          <w:color w:val="333333"/>
        </w:rPr>
        <w:t xml:space="preserve">the outdoor atmosphere that are </w:t>
      </w:r>
      <w:r w:rsidR="007C2C84" w:rsidRPr="007C2C84">
        <w:rPr>
          <w:color w:val="333333"/>
        </w:rPr>
        <w:t>demonstrated to the Department as not exceeding, at any t</w:t>
      </w:r>
      <w:r w:rsidR="005B3FC1">
        <w:rPr>
          <w:color w:val="333333"/>
        </w:rPr>
        <w:t xml:space="preserve">ime, those quantities of sulfur </w:t>
      </w:r>
      <w:r w:rsidR="007C2C84" w:rsidRPr="007C2C84">
        <w:rPr>
          <w:color w:val="333333"/>
        </w:rPr>
        <w:t>dioxide expressed in pounds per 1,000,000 British Thermal Un</w:t>
      </w:r>
      <w:r w:rsidR="005B3FC1">
        <w:rPr>
          <w:color w:val="333333"/>
        </w:rPr>
        <w:t xml:space="preserve">its (BTU) gross heat input, set </w:t>
      </w:r>
      <w:r w:rsidR="007C2C84" w:rsidRPr="007C2C84">
        <w:rPr>
          <w:color w:val="333333"/>
        </w:rPr>
        <w:t>forth in Tables 2A and 2B of this section.</w:t>
      </w:r>
    </w:p>
    <w:p w14:paraId="4730AC08" w14:textId="77777777" w:rsidR="008F448F" w:rsidRDefault="008F448F" w:rsidP="00155749">
      <w:pPr>
        <w:widowControl/>
        <w:autoSpaceDE/>
        <w:autoSpaceDN/>
        <w:adjustRightInd/>
        <w:rPr>
          <w:color w:val="333333"/>
        </w:rPr>
      </w:pPr>
    </w:p>
    <w:p w14:paraId="3144957C" w14:textId="77777777" w:rsidR="00A3351D" w:rsidRDefault="00A3351D" w:rsidP="00155749">
      <w:pPr>
        <w:widowControl/>
        <w:autoSpaceDE/>
        <w:autoSpaceDN/>
        <w:adjustRightInd/>
        <w:rPr>
          <w:color w:val="333333"/>
        </w:rPr>
      </w:pPr>
    </w:p>
    <w:p w14:paraId="2F278313" w14:textId="77777777" w:rsidR="00A6166B" w:rsidRDefault="00A6166B" w:rsidP="00155749">
      <w:pPr>
        <w:widowControl/>
        <w:autoSpaceDE/>
        <w:autoSpaceDN/>
        <w:adjustRightInd/>
        <w:rPr>
          <w:color w:val="333333"/>
        </w:rPr>
      </w:pPr>
    </w:p>
    <w:p w14:paraId="19DC3F41" w14:textId="77777777" w:rsidR="00A6166B" w:rsidRDefault="00A6166B" w:rsidP="00155749">
      <w:pPr>
        <w:widowControl/>
        <w:autoSpaceDE/>
        <w:autoSpaceDN/>
        <w:adjustRightInd/>
        <w:rPr>
          <w:color w:val="333333"/>
        </w:rPr>
      </w:pPr>
    </w:p>
    <w:p w14:paraId="317361CD" w14:textId="77777777" w:rsidR="00A6166B" w:rsidRDefault="00A6166B" w:rsidP="00155749">
      <w:pPr>
        <w:widowControl/>
        <w:autoSpaceDE/>
        <w:autoSpaceDN/>
        <w:adjustRightInd/>
        <w:rPr>
          <w:color w:val="333333"/>
        </w:rPr>
      </w:pPr>
    </w:p>
    <w:p w14:paraId="327BD05D" w14:textId="77777777" w:rsidR="00A6166B" w:rsidRDefault="00A6166B" w:rsidP="00155749">
      <w:pPr>
        <w:widowControl/>
        <w:autoSpaceDE/>
        <w:autoSpaceDN/>
        <w:adjustRightInd/>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10"/>
        <w:gridCol w:w="1260"/>
        <w:gridCol w:w="1260"/>
        <w:gridCol w:w="1260"/>
        <w:gridCol w:w="1278"/>
      </w:tblGrid>
      <w:tr w:rsidR="00032E53" w:rsidRPr="008F0791" w14:paraId="25A22D28" w14:textId="77777777" w:rsidTr="008F0791">
        <w:tc>
          <w:tcPr>
            <w:tcW w:w="9576" w:type="dxa"/>
            <w:gridSpan w:val="6"/>
            <w:shd w:val="clear" w:color="auto" w:fill="auto"/>
            <w:vAlign w:val="center"/>
          </w:tcPr>
          <w:p w14:paraId="52F53FEC" w14:textId="77777777" w:rsidR="00032E53" w:rsidRPr="008F0791" w:rsidRDefault="00032E53" w:rsidP="008F0791">
            <w:pPr>
              <w:widowControl/>
              <w:autoSpaceDE/>
              <w:autoSpaceDN/>
              <w:adjustRightInd/>
              <w:jc w:val="center"/>
              <w:rPr>
                <w:b/>
                <w:color w:val="333333"/>
              </w:rPr>
            </w:pPr>
            <w:r w:rsidRPr="008F0791">
              <w:rPr>
                <w:b/>
                <w:color w:val="333333"/>
              </w:rPr>
              <w:lastRenderedPageBreak/>
              <w:t>TABLE 2A</w:t>
            </w:r>
          </w:p>
        </w:tc>
      </w:tr>
      <w:tr w:rsidR="00032E53" w:rsidRPr="008F0791" w14:paraId="169D862E" w14:textId="77777777" w:rsidTr="008F0791">
        <w:tc>
          <w:tcPr>
            <w:tcW w:w="9576" w:type="dxa"/>
            <w:gridSpan w:val="6"/>
            <w:shd w:val="clear" w:color="auto" w:fill="auto"/>
            <w:vAlign w:val="center"/>
          </w:tcPr>
          <w:p w14:paraId="59AB2B00" w14:textId="77777777" w:rsidR="00032E53" w:rsidRPr="008F0791" w:rsidRDefault="00032E53" w:rsidP="008F0791">
            <w:pPr>
              <w:widowControl/>
              <w:autoSpaceDE/>
              <w:autoSpaceDN/>
              <w:adjustRightInd/>
              <w:jc w:val="center"/>
              <w:rPr>
                <w:b/>
                <w:color w:val="333333"/>
              </w:rPr>
            </w:pPr>
            <w:r w:rsidRPr="008F0791">
              <w:rPr>
                <w:b/>
                <w:color w:val="333333"/>
              </w:rPr>
              <w:t>MAXIMUM ALLOWABLE SULFUR DIOXIDE EMISSIONS EFFECTIVE THROUGH JUNE 30, 2014</w:t>
            </w:r>
          </w:p>
        </w:tc>
      </w:tr>
      <w:tr w:rsidR="00032E53" w:rsidRPr="008F0791" w14:paraId="3CB836E8" w14:textId="77777777" w:rsidTr="008F0791">
        <w:tc>
          <w:tcPr>
            <w:tcW w:w="1908" w:type="dxa"/>
            <w:shd w:val="clear" w:color="auto" w:fill="auto"/>
            <w:vAlign w:val="center"/>
          </w:tcPr>
          <w:p w14:paraId="34314AC2" w14:textId="77777777" w:rsidR="00032E53" w:rsidRPr="008F0791" w:rsidRDefault="00032E53" w:rsidP="008F0791">
            <w:pPr>
              <w:widowControl/>
              <w:autoSpaceDE/>
              <w:autoSpaceDN/>
              <w:adjustRightInd/>
              <w:jc w:val="center"/>
              <w:rPr>
                <w:b/>
                <w:color w:val="333333"/>
              </w:rPr>
            </w:pPr>
            <w:r w:rsidRPr="008F0791">
              <w:rPr>
                <w:b/>
                <w:color w:val="333333"/>
              </w:rPr>
              <w:t>Typical Grades of Fuel Oil</w:t>
            </w:r>
          </w:p>
        </w:tc>
        <w:tc>
          <w:tcPr>
            <w:tcW w:w="2610" w:type="dxa"/>
            <w:shd w:val="clear" w:color="auto" w:fill="auto"/>
            <w:vAlign w:val="center"/>
          </w:tcPr>
          <w:p w14:paraId="620DC938" w14:textId="77777777" w:rsidR="00032E53" w:rsidRPr="008F0791" w:rsidRDefault="00032E53" w:rsidP="008F0791">
            <w:pPr>
              <w:widowControl/>
              <w:autoSpaceDE/>
              <w:autoSpaceDN/>
              <w:adjustRightInd/>
              <w:jc w:val="center"/>
              <w:rPr>
                <w:b/>
                <w:color w:val="333333"/>
              </w:rPr>
            </w:pPr>
            <w:r w:rsidRPr="008F0791">
              <w:rPr>
                <w:b/>
                <w:color w:val="333333"/>
              </w:rPr>
              <w:t>Classification by SSU Viscosity at 100°F</w:t>
            </w:r>
          </w:p>
        </w:tc>
        <w:tc>
          <w:tcPr>
            <w:tcW w:w="5058" w:type="dxa"/>
            <w:gridSpan w:val="4"/>
            <w:shd w:val="clear" w:color="auto" w:fill="auto"/>
            <w:vAlign w:val="center"/>
          </w:tcPr>
          <w:p w14:paraId="45ED53E4" w14:textId="77777777" w:rsidR="00032E53" w:rsidRPr="008F0791" w:rsidRDefault="00032E53" w:rsidP="008F0791">
            <w:pPr>
              <w:widowControl/>
              <w:autoSpaceDE/>
              <w:autoSpaceDN/>
              <w:adjustRightInd/>
              <w:jc w:val="center"/>
              <w:rPr>
                <w:b/>
                <w:color w:val="333333"/>
              </w:rPr>
            </w:pPr>
            <w:r w:rsidRPr="008F0791">
              <w:rPr>
                <w:b/>
                <w:color w:val="333333"/>
              </w:rPr>
              <w:t>SO2 Emissions (lbs per million BTU)</w:t>
            </w:r>
          </w:p>
        </w:tc>
      </w:tr>
      <w:tr w:rsidR="008F0791" w:rsidRPr="008F0791" w14:paraId="58F521E0" w14:textId="77777777" w:rsidTr="008F0791">
        <w:tc>
          <w:tcPr>
            <w:tcW w:w="1908" w:type="dxa"/>
            <w:shd w:val="clear" w:color="auto" w:fill="auto"/>
            <w:vAlign w:val="center"/>
          </w:tcPr>
          <w:p w14:paraId="021F3D66" w14:textId="77777777" w:rsidR="008F448F" w:rsidRPr="008F0791" w:rsidRDefault="008F448F" w:rsidP="008F0791">
            <w:pPr>
              <w:widowControl/>
              <w:autoSpaceDE/>
              <w:autoSpaceDN/>
              <w:adjustRightInd/>
              <w:jc w:val="center"/>
              <w:rPr>
                <w:color w:val="333333"/>
              </w:rPr>
            </w:pPr>
          </w:p>
        </w:tc>
        <w:tc>
          <w:tcPr>
            <w:tcW w:w="2610" w:type="dxa"/>
            <w:shd w:val="clear" w:color="auto" w:fill="auto"/>
            <w:vAlign w:val="center"/>
          </w:tcPr>
          <w:p w14:paraId="038320BD" w14:textId="77777777" w:rsidR="008F448F" w:rsidRPr="008F0791" w:rsidRDefault="008F448F" w:rsidP="008F0791">
            <w:pPr>
              <w:widowControl/>
              <w:autoSpaceDE/>
              <w:autoSpaceDN/>
              <w:adjustRightInd/>
              <w:jc w:val="center"/>
              <w:rPr>
                <w:color w:val="333333"/>
              </w:rPr>
            </w:pPr>
          </w:p>
        </w:tc>
        <w:tc>
          <w:tcPr>
            <w:tcW w:w="1260" w:type="dxa"/>
            <w:shd w:val="clear" w:color="auto" w:fill="auto"/>
            <w:vAlign w:val="center"/>
          </w:tcPr>
          <w:p w14:paraId="588BAC5B" w14:textId="77777777" w:rsidR="008F448F" w:rsidRPr="008F0791" w:rsidRDefault="008F448F" w:rsidP="008F0791">
            <w:pPr>
              <w:jc w:val="center"/>
              <w:rPr>
                <w:b/>
              </w:rPr>
            </w:pPr>
            <w:r w:rsidRPr="008F0791">
              <w:rPr>
                <w:b/>
              </w:rPr>
              <w:t>Zone 1</w:t>
            </w:r>
          </w:p>
        </w:tc>
        <w:tc>
          <w:tcPr>
            <w:tcW w:w="1260" w:type="dxa"/>
            <w:shd w:val="clear" w:color="auto" w:fill="auto"/>
            <w:vAlign w:val="center"/>
          </w:tcPr>
          <w:p w14:paraId="01600AA7" w14:textId="77777777" w:rsidR="008F448F" w:rsidRPr="008F0791" w:rsidRDefault="008F448F" w:rsidP="008F0791">
            <w:pPr>
              <w:jc w:val="center"/>
              <w:rPr>
                <w:b/>
              </w:rPr>
            </w:pPr>
            <w:r w:rsidRPr="008F0791">
              <w:rPr>
                <w:b/>
              </w:rPr>
              <w:t>Zones 2 &amp; 5</w:t>
            </w:r>
          </w:p>
        </w:tc>
        <w:tc>
          <w:tcPr>
            <w:tcW w:w="1260" w:type="dxa"/>
            <w:shd w:val="clear" w:color="auto" w:fill="auto"/>
            <w:vAlign w:val="center"/>
          </w:tcPr>
          <w:p w14:paraId="5C854690" w14:textId="77777777" w:rsidR="008F448F" w:rsidRPr="008F0791" w:rsidRDefault="008F448F" w:rsidP="008F0791">
            <w:pPr>
              <w:jc w:val="center"/>
              <w:rPr>
                <w:b/>
              </w:rPr>
            </w:pPr>
            <w:r w:rsidRPr="008F0791">
              <w:rPr>
                <w:b/>
              </w:rPr>
              <w:t>Zone 3</w:t>
            </w:r>
          </w:p>
        </w:tc>
        <w:tc>
          <w:tcPr>
            <w:tcW w:w="1278" w:type="dxa"/>
            <w:shd w:val="clear" w:color="auto" w:fill="auto"/>
            <w:vAlign w:val="center"/>
          </w:tcPr>
          <w:p w14:paraId="7FF0EE5B" w14:textId="77777777" w:rsidR="008F448F" w:rsidRPr="008F0791" w:rsidRDefault="008F448F" w:rsidP="008F0791">
            <w:pPr>
              <w:jc w:val="center"/>
              <w:rPr>
                <w:b/>
              </w:rPr>
            </w:pPr>
            <w:r w:rsidRPr="008F0791">
              <w:rPr>
                <w:b/>
              </w:rPr>
              <w:t>Zones 4 &amp; 6</w:t>
            </w:r>
          </w:p>
        </w:tc>
      </w:tr>
      <w:tr w:rsidR="008F0791" w:rsidRPr="008F0791" w14:paraId="538DFB50" w14:textId="77777777" w:rsidTr="008F0791">
        <w:tc>
          <w:tcPr>
            <w:tcW w:w="1908" w:type="dxa"/>
            <w:shd w:val="clear" w:color="auto" w:fill="auto"/>
            <w:vAlign w:val="center"/>
          </w:tcPr>
          <w:p w14:paraId="4F21824A" w14:textId="77777777" w:rsidR="008F448F" w:rsidRPr="008F0791" w:rsidRDefault="008F448F" w:rsidP="008F0791">
            <w:pPr>
              <w:widowControl/>
              <w:autoSpaceDE/>
              <w:autoSpaceDN/>
              <w:adjustRightInd/>
              <w:jc w:val="center"/>
              <w:rPr>
                <w:color w:val="333333"/>
              </w:rPr>
            </w:pPr>
            <w:r w:rsidRPr="008F0791">
              <w:rPr>
                <w:color w:val="333333"/>
              </w:rPr>
              <w:t>No. 2 &amp; lighter</w:t>
            </w:r>
          </w:p>
        </w:tc>
        <w:tc>
          <w:tcPr>
            <w:tcW w:w="2610" w:type="dxa"/>
            <w:shd w:val="clear" w:color="auto" w:fill="auto"/>
            <w:vAlign w:val="center"/>
          </w:tcPr>
          <w:p w14:paraId="53902AA5" w14:textId="77777777" w:rsidR="008F448F" w:rsidRPr="008F0791" w:rsidRDefault="008F448F" w:rsidP="008F0791">
            <w:pPr>
              <w:widowControl/>
              <w:autoSpaceDE/>
              <w:autoSpaceDN/>
              <w:adjustRightInd/>
              <w:jc w:val="center"/>
              <w:rPr>
                <w:color w:val="333333"/>
              </w:rPr>
            </w:pPr>
            <w:r w:rsidRPr="008F0791">
              <w:rPr>
                <w:color w:val="333333"/>
              </w:rPr>
              <w:t>Less than or equal to 45, including gases</w:t>
            </w:r>
          </w:p>
        </w:tc>
        <w:tc>
          <w:tcPr>
            <w:tcW w:w="1260" w:type="dxa"/>
            <w:shd w:val="clear" w:color="auto" w:fill="auto"/>
            <w:vAlign w:val="center"/>
          </w:tcPr>
          <w:p w14:paraId="5CC0ED02" w14:textId="77777777" w:rsidR="008F448F" w:rsidRPr="00D33FE5" w:rsidRDefault="008F448F" w:rsidP="008F0791">
            <w:pPr>
              <w:jc w:val="center"/>
            </w:pPr>
            <w:r w:rsidRPr="00D33FE5">
              <w:t>0.32</w:t>
            </w:r>
          </w:p>
        </w:tc>
        <w:tc>
          <w:tcPr>
            <w:tcW w:w="1260" w:type="dxa"/>
            <w:shd w:val="clear" w:color="auto" w:fill="auto"/>
            <w:vAlign w:val="center"/>
          </w:tcPr>
          <w:p w14:paraId="7051433C" w14:textId="77777777" w:rsidR="008F448F" w:rsidRPr="00D33FE5" w:rsidRDefault="008F448F" w:rsidP="008F0791">
            <w:pPr>
              <w:jc w:val="center"/>
            </w:pPr>
            <w:r w:rsidRPr="00D33FE5">
              <w:t>0.32</w:t>
            </w:r>
          </w:p>
        </w:tc>
        <w:tc>
          <w:tcPr>
            <w:tcW w:w="1260" w:type="dxa"/>
            <w:shd w:val="clear" w:color="auto" w:fill="auto"/>
            <w:vAlign w:val="center"/>
          </w:tcPr>
          <w:p w14:paraId="788D4902" w14:textId="77777777" w:rsidR="008F448F" w:rsidRPr="00D33FE5" w:rsidRDefault="008F448F" w:rsidP="008F0791">
            <w:pPr>
              <w:jc w:val="center"/>
            </w:pPr>
            <w:r w:rsidRPr="00D33FE5">
              <w:t>0.21</w:t>
            </w:r>
          </w:p>
        </w:tc>
        <w:tc>
          <w:tcPr>
            <w:tcW w:w="1278" w:type="dxa"/>
            <w:shd w:val="clear" w:color="auto" w:fill="auto"/>
            <w:vAlign w:val="center"/>
          </w:tcPr>
          <w:p w14:paraId="5F36C770" w14:textId="77777777" w:rsidR="008F448F" w:rsidRPr="00D33FE5" w:rsidRDefault="008F448F" w:rsidP="008F0791">
            <w:pPr>
              <w:jc w:val="center"/>
            </w:pPr>
            <w:r w:rsidRPr="00D33FE5">
              <w:t>0.21</w:t>
            </w:r>
          </w:p>
        </w:tc>
      </w:tr>
      <w:tr w:rsidR="008F0791" w:rsidRPr="008F0791" w14:paraId="56A59C54" w14:textId="77777777" w:rsidTr="008F0791">
        <w:tc>
          <w:tcPr>
            <w:tcW w:w="1908" w:type="dxa"/>
            <w:shd w:val="clear" w:color="auto" w:fill="auto"/>
            <w:vAlign w:val="center"/>
          </w:tcPr>
          <w:p w14:paraId="08EF0DEC" w14:textId="77777777" w:rsidR="008F448F" w:rsidRPr="008F0791" w:rsidRDefault="008F448F" w:rsidP="008F0791">
            <w:pPr>
              <w:widowControl/>
              <w:autoSpaceDE/>
              <w:autoSpaceDN/>
              <w:adjustRightInd/>
              <w:jc w:val="center"/>
              <w:rPr>
                <w:color w:val="333333"/>
              </w:rPr>
            </w:pPr>
            <w:r w:rsidRPr="008F0791">
              <w:rPr>
                <w:color w:val="333333"/>
              </w:rPr>
              <w:t>No. 4</w:t>
            </w:r>
          </w:p>
        </w:tc>
        <w:tc>
          <w:tcPr>
            <w:tcW w:w="2610" w:type="dxa"/>
            <w:shd w:val="clear" w:color="auto" w:fill="auto"/>
            <w:vAlign w:val="center"/>
          </w:tcPr>
          <w:p w14:paraId="55F5D2C0" w14:textId="77777777" w:rsidR="008F448F" w:rsidRPr="008F0791" w:rsidRDefault="008F448F" w:rsidP="008F0791">
            <w:pPr>
              <w:widowControl/>
              <w:autoSpaceDE/>
              <w:autoSpaceDN/>
              <w:adjustRightInd/>
              <w:jc w:val="center"/>
              <w:rPr>
                <w:color w:val="333333"/>
              </w:rPr>
            </w:pPr>
            <w:r w:rsidRPr="008F0791">
              <w:rPr>
                <w:color w:val="333333"/>
              </w:rPr>
              <w:t>Greater than 45 but less than 145</w:t>
            </w:r>
          </w:p>
        </w:tc>
        <w:tc>
          <w:tcPr>
            <w:tcW w:w="1260" w:type="dxa"/>
            <w:shd w:val="clear" w:color="auto" w:fill="auto"/>
            <w:vAlign w:val="center"/>
          </w:tcPr>
          <w:p w14:paraId="52A2FC8C" w14:textId="77777777" w:rsidR="008F448F" w:rsidRPr="00257026" w:rsidRDefault="008F448F" w:rsidP="008F0791">
            <w:pPr>
              <w:jc w:val="center"/>
            </w:pPr>
            <w:r w:rsidRPr="00257026">
              <w:t>2.10</w:t>
            </w:r>
          </w:p>
        </w:tc>
        <w:tc>
          <w:tcPr>
            <w:tcW w:w="1260" w:type="dxa"/>
            <w:shd w:val="clear" w:color="auto" w:fill="auto"/>
            <w:vAlign w:val="center"/>
          </w:tcPr>
          <w:p w14:paraId="51BF56CF" w14:textId="77777777" w:rsidR="008F448F" w:rsidRPr="00257026" w:rsidRDefault="008F448F" w:rsidP="008F0791">
            <w:pPr>
              <w:jc w:val="center"/>
            </w:pPr>
            <w:r w:rsidRPr="00257026">
              <w:t>0.74</w:t>
            </w:r>
          </w:p>
        </w:tc>
        <w:tc>
          <w:tcPr>
            <w:tcW w:w="1260" w:type="dxa"/>
            <w:shd w:val="clear" w:color="auto" w:fill="auto"/>
            <w:vAlign w:val="center"/>
          </w:tcPr>
          <w:p w14:paraId="347215C5" w14:textId="77777777" w:rsidR="008F448F" w:rsidRPr="00257026" w:rsidRDefault="008F448F" w:rsidP="008F0791">
            <w:pPr>
              <w:jc w:val="center"/>
            </w:pPr>
            <w:r w:rsidRPr="00257026">
              <w:t>0.32</w:t>
            </w:r>
          </w:p>
        </w:tc>
        <w:tc>
          <w:tcPr>
            <w:tcW w:w="1278" w:type="dxa"/>
            <w:shd w:val="clear" w:color="auto" w:fill="auto"/>
            <w:vAlign w:val="center"/>
          </w:tcPr>
          <w:p w14:paraId="17BA06DA" w14:textId="77777777" w:rsidR="008F448F" w:rsidRPr="00257026" w:rsidRDefault="008F448F" w:rsidP="008F0791">
            <w:pPr>
              <w:jc w:val="center"/>
            </w:pPr>
            <w:r w:rsidRPr="00257026">
              <w:t>0.32</w:t>
            </w:r>
          </w:p>
        </w:tc>
      </w:tr>
      <w:tr w:rsidR="008F0791" w:rsidRPr="008F0791" w14:paraId="390648A6" w14:textId="77777777" w:rsidTr="008F0791">
        <w:tc>
          <w:tcPr>
            <w:tcW w:w="1908" w:type="dxa"/>
            <w:shd w:val="clear" w:color="auto" w:fill="auto"/>
            <w:vAlign w:val="center"/>
          </w:tcPr>
          <w:p w14:paraId="2A6B3921" w14:textId="77777777" w:rsidR="008F448F" w:rsidRPr="008F0791" w:rsidRDefault="008F448F" w:rsidP="008F0791">
            <w:pPr>
              <w:widowControl/>
              <w:autoSpaceDE/>
              <w:autoSpaceDN/>
              <w:adjustRightInd/>
              <w:jc w:val="center"/>
              <w:rPr>
                <w:color w:val="333333"/>
              </w:rPr>
            </w:pPr>
            <w:r w:rsidRPr="008F0791">
              <w:rPr>
                <w:color w:val="333333"/>
              </w:rPr>
              <w:t>No. 5, No. 6 &amp; heavier</w:t>
            </w:r>
          </w:p>
        </w:tc>
        <w:tc>
          <w:tcPr>
            <w:tcW w:w="2610" w:type="dxa"/>
            <w:shd w:val="clear" w:color="auto" w:fill="auto"/>
            <w:vAlign w:val="center"/>
          </w:tcPr>
          <w:p w14:paraId="6E7B6F11" w14:textId="77777777" w:rsidR="008F448F" w:rsidRPr="008F0791" w:rsidRDefault="008F448F" w:rsidP="008F0791">
            <w:pPr>
              <w:widowControl/>
              <w:autoSpaceDE/>
              <w:autoSpaceDN/>
              <w:adjustRightInd/>
              <w:jc w:val="center"/>
              <w:rPr>
                <w:color w:val="333333"/>
              </w:rPr>
            </w:pPr>
            <w:r w:rsidRPr="008F0791">
              <w:rPr>
                <w:color w:val="333333"/>
              </w:rPr>
              <w:t>Equal to or greater than 145</w:t>
            </w:r>
          </w:p>
        </w:tc>
        <w:tc>
          <w:tcPr>
            <w:tcW w:w="1260" w:type="dxa"/>
            <w:shd w:val="clear" w:color="auto" w:fill="auto"/>
            <w:vAlign w:val="center"/>
          </w:tcPr>
          <w:p w14:paraId="1060D557" w14:textId="77777777" w:rsidR="008F448F" w:rsidRPr="00070647" w:rsidRDefault="008F448F" w:rsidP="008F0791">
            <w:pPr>
              <w:jc w:val="center"/>
            </w:pPr>
            <w:r w:rsidRPr="00070647">
              <w:t>2.10</w:t>
            </w:r>
          </w:p>
        </w:tc>
        <w:tc>
          <w:tcPr>
            <w:tcW w:w="1260" w:type="dxa"/>
            <w:shd w:val="clear" w:color="auto" w:fill="auto"/>
            <w:vAlign w:val="center"/>
          </w:tcPr>
          <w:p w14:paraId="6DE52F50" w14:textId="77777777" w:rsidR="008F448F" w:rsidRPr="00070647" w:rsidRDefault="008F448F" w:rsidP="008F0791">
            <w:pPr>
              <w:jc w:val="center"/>
            </w:pPr>
            <w:r w:rsidRPr="00070647">
              <w:t>1.05</w:t>
            </w:r>
          </w:p>
        </w:tc>
        <w:tc>
          <w:tcPr>
            <w:tcW w:w="1260" w:type="dxa"/>
            <w:shd w:val="clear" w:color="auto" w:fill="auto"/>
            <w:vAlign w:val="center"/>
          </w:tcPr>
          <w:p w14:paraId="0C54FF8F" w14:textId="77777777" w:rsidR="008F448F" w:rsidRPr="00070647" w:rsidRDefault="008F448F" w:rsidP="008F0791">
            <w:pPr>
              <w:jc w:val="center"/>
            </w:pPr>
            <w:r w:rsidRPr="00070647">
              <w:t>0.53</w:t>
            </w:r>
          </w:p>
        </w:tc>
        <w:tc>
          <w:tcPr>
            <w:tcW w:w="1278" w:type="dxa"/>
            <w:shd w:val="clear" w:color="auto" w:fill="auto"/>
            <w:vAlign w:val="center"/>
          </w:tcPr>
          <w:p w14:paraId="33DCCF37" w14:textId="77777777" w:rsidR="008F448F" w:rsidRDefault="008F448F" w:rsidP="008F0791">
            <w:pPr>
              <w:jc w:val="center"/>
            </w:pPr>
            <w:r w:rsidRPr="00070647">
              <w:t>0.32</w:t>
            </w:r>
          </w:p>
        </w:tc>
      </w:tr>
    </w:tbl>
    <w:p w14:paraId="411DCFB6" w14:textId="77777777" w:rsidR="00A3351D" w:rsidRDefault="00A3351D" w:rsidP="00155749">
      <w:pPr>
        <w:widowControl/>
        <w:autoSpaceDE/>
        <w:autoSpaceDN/>
        <w:adjustRightInd/>
        <w:rPr>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10"/>
        <w:gridCol w:w="1260"/>
        <w:gridCol w:w="1260"/>
        <w:gridCol w:w="1260"/>
        <w:gridCol w:w="1278"/>
      </w:tblGrid>
      <w:tr w:rsidR="00A3351D" w:rsidRPr="008F0791" w14:paraId="0131ABD3" w14:textId="77777777" w:rsidTr="008F0791">
        <w:tc>
          <w:tcPr>
            <w:tcW w:w="9576" w:type="dxa"/>
            <w:gridSpan w:val="6"/>
            <w:shd w:val="clear" w:color="auto" w:fill="auto"/>
            <w:vAlign w:val="center"/>
          </w:tcPr>
          <w:p w14:paraId="2FB656EE" w14:textId="77777777" w:rsidR="00A3351D" w:rsidRPr="008F0791" w:rsidRDefault="00A3351D" w:rsidP="008F0791">
            <w:pPr>
              <w:widowControl/>
              <w:autoSpaceDE/>
              <w:autoSpaceDN/>
              <w:adjustRightInd/>
              <w:jc w:val="center"/>
              <w:rPr>
                <w:b/>
                <w:color w:val="333333"/>
              </w:rPr>
            </w:pPr>
            <w:r w:rsidRPr="008F0791">
              <w:rPr>
                <w:b/>
                <w:color w:val="333333"/>
              </w:rPr>
              <w:t>TABLE 2B</w:t>
            </w:r>
          </w:p>
        </w:tc>
      </w:tr>
      <w:tr w:rsidR="00A3351D" w:rsidRPr="008F0791" w14:paraId="4047DD22" w14:textId="77777777" w:rsidTr="008F0791">
        <w:tc>
          <w:tcPr>
            <w:tcW w:w="9576" w:type="dxa"/>
            <w:gridSpan w:val="6"/>
            <w:shd w:val="clear" w:color="auto" w:fill="auto"/>
            <w:vAlign w:val="center"/>
          </w:tcPr>
          <w:p w14:paraId="69997C71" w14:textId="77777777" w:rsidR="00A3351D" w:rsidRPr="008F0791" w:rsidRDefault="00A3351D" w:rsidP="008F0791">
            <w:pPr>
              <w:widowControl/>
              <w:autoSpaceDE/>
              <w:autoSpaceDN/>
              <w:adjustRightInd/>
              <w:jc w:val="center"/>
              <w:rPr>
                <w:b/>
                <w:color w:val="333333"/>
              </w:rPr>
            </w:pPr>
            <w:r w:rsidRPr="008F0791">
              <w:rPr>
                <w:b/>
                <w:color w:val="333333"/>
              </w:rPr>
              <w:t>MAXIMUM ALLOWABLE SULFUR DIOXIDE EMISSIONS EFFECTIVE JULY 1, 2014 AND JULY 1, 2016</w:t>
            </w:r>
          </w:p>
        </w:tc>
      </w:tr>
      <w:tr w:rsidR="008F0791" w:rsidRPr="008F0791" w14:paraId="41D95274" w14:textId="77777777" w:rsidTr="008F0791">
        <w:tc>
          <w:tcPr>
            <w:tcW w:w="1908" w:type="dxa"/>
            <w:shd w:val="clear" w:color="auto" w:fill="auto"/>
            <w:vAlign w:val="center"/>
          </w:tcPr>
          <w:p w14:paraId="1FFB3DBE" w14:textId="77777777" w:rsidR="00A3351D" w:rsidRPr="008F0791" w:rsidRDefault="00A3351D" w:rsidP="008F0791">
            <w:pPr>
              <w:widowControl/>
              <w:autoSpaceDE/>
              <w:autoSpaceDN/>
              <w:adjustRightInd/>
              <w:jc w:val="center"/>
              <w:rPr>
                <w:b/>
                <w:color w:val="333333"/>
              </w:rPr>
            </w:pPr>
            <w:r w:rsidRPr="008F0791">
              <w:rPr>
                <w:b/>
                <w:color w:val="333333"/>
              </w:rPr>
              <w:t>Typical Grades of Fuel Oil</w:t>
            </w:r>
          </w:p>
        </w:tc>
        <w:tc>
          <w:tcPr>
            <w:tcW w:w="2610" w:type="dxa"/>
            <w:shd w:val="clear" w:color="auto" w:fill="auto"/>
            <w:vAlign w:val="center"/>
          </w:tcPr>
          <w:p w14:paraId="047C5414" w14:textId="77777777" w:rsidR="00A3351D" w:rsidRPr="008F0791" w:rsidRDefault="00A3351D" w:rsidP="008F0791">
            <w:pPr>
              <w:widowControl/>
              <w:autoSpaceDE/>
              <w:autoSpaceDN/>
              <w:adjustRightInd/>
              <w:jc w:val="center"/>
              <w:rPr>
                <w:b/>
                <w:color w:val="333333"/>
              </w:rPr>
            </w:pPr>
            <w:r w:rsidRPr="008F0791">
              <w:rPr>
                <w:b/>
                <w:color w:val="333333"/>
              </w:rPr>
              <w:t>Classification by SSU Viscosity at 100°F</w:t>
            </w:r>
          </w:p>
        </w:tc>
        <w:tc>
          <w:tcPr>
            <w:tcW w:w="5058" w:type="dxa"/>
            <w:gridSpan w:val="4"/>
            <w:shd w:val="clear" w:color="auto" w:fill="auto"/>
            <w:vAlign w:val="center"/>
          </w:tcPr>
          <w:p w14:paraId="30B243A1" w14:textId="076C90A7" w:rsidR="00A3351D" w:rsidRPr="008F0791" w:rsidRDefault="00A72EBB" w:rsidP="008F0791">
            <w:pPr>
              <w:widowControl/>
              <w:autoSpaceDE/>
              <w:autoSpaceDN/>
              <w:adjustRightInd/>
              <w:jc w:val="center"/>
              <w:rPr>
                <w:b/>
                <w:color w:val="333333"/>
              </w:rPr>
            </w:pPr>
            <w:r w:rsidRPr="008F0791">
              <w:rPr>
                <w:b/>
                <w:color w:val="333333"/>
              </w:rPr>
              <w:t>SO2 Emissions (lbs per million BTU)</w:t>
            </w:r>
          </w:p>
        </w:tc>
      </w:tr>
      <w:tr w:rsidR="008F0791" w:rsidRPr="008F0791" w14:paraId="54C7E724" w14:textId="77777777" w:rsidTr="008F0791">
        <w:tc>
          <w:tcPr>
            <w:tcW w:w="1908" w:type="dxa"/>
            <w:shd w:val="clear" w:color="auto" w:fill="auto"/>
            <w:vAlign w:val="center"/>
          </w:tcPr>
          <w:p w14:paraId="493CF33F" w14:textId="77777777" w:rsidR="00A3351D" w:rsidRPr="008F0791" w:rsidRDefault="00A3351D" w:rsidP="008F0791">
            <w:pPr>
              <w:widowControl/>
              <w:autoSpaceDE/>
              <w:autoSpaceDN/>
              <w:adjustRightInd/>
              <w:jc w:val="center"/>
              <w:rPr>
                <w:color w:val="333333"/>
              </w:rPr>
            </w:pPr>
          </w:p>
        </w:tc>
        <w:tc>
          <w:tcPr>
            <w:tcW w:w="2610" w:type="dxa"/>
            <w:shd w:val="clear" w:color="auto" w:fill="auto"/>
            <w:vAlign w:val="center"/>
          </w:tcPr>
          <w:p w14:paraId="424CA030" w14:textId="77777777" w:rsidR="00A3351D" w:rsidRPr="008F0791" w:rsidRDefault="00A3351D" w:rsidP="008F0791">
            <w:pPr>
              <w:widowControl/>
              <w:autoSpaceDE/>
              <w:autoSpaceDN/>
              <w:adjustRightInd/>
              <w:jc w:val="center"/>
              <w:rPr>
                <w:color w:val="333333"/>
              </w:rPr>
            </w:pPr>
          </w:p>
        </w:tc>
        <w:tc>
          <w:tcPr>
            <w:tcW w:w="1260" w:type="dxa"/>
            <w:shd w:val="clear" w:color="auto" w:fill="auto"/>
            <w:vAlign w:val="center"/>
          </w:tcPr>
          <w:p w14:paraId="10AA2549" w14:textId="77777777" w:rsidR="00A3351D" w:rsidRPr="008F0791" w:rsidRDefault="00A3351D" w:rsidP="008F0791">
            <w:pPr>
              <w:jc w:val="center"/>
              <w:rPr>
                <w:b/>
              </w:rPr>
            </w:pPr>
            <w:r w:rsidRPr="008F0791">
              <w:rPr>
                <w:b/>
              </w:rPr>
              <w:t>Zone 1</w:t>
            </w:r>
          </w:p>
        </w:tc>
        <w:tc>
          <w:tcPr>
            <w:tcW w:w="1260" w:type="dxa"/>
            <w:shd w:val="clear" w:color="auto" w:fill="auto"/>
            <w:vAlign w:val="center"/>
          </w:tcPr>
          <w:p w14:paraId="6A651ECF" w14:textId="77777777" w:rsidR="00A3351D" w:rsidRPr="008F0791" w:rsidRDefault="00A3351D" w:rsidP="008F0791">
            <w:pPr>
              <w:jc w:val="center"/>
              <w:rPr>
                <w:b/>
              </w:rPr>
            </w:pPr>
            <w:r w:rsidRPr="008F0791">
              <w:rPr>
                <w:b/>
              </w:rPr>
              <w:t>Zones 2 &amp; 5</w:t>
            </w:r>
          </w:p>
        </w:tc>
        <w:tc>
          <w:tcPr>
            <w:tcW w:w="1260" w:type="dxa"/>
            <w:shd w:val="clear" w:color="auto" w:fill="auto"/>
            <w:vAlign w:val="center"/>
          </w:tcPr>
          <w:p w14:paraId="445BDB5E" w14:textId="77777777" w:rsidR="00A3351D" w:rsidRPr="008F0791" w:rsidRDefault="00A3351D" w:rsidP="008F0791">
            <w:pPr>
              <w:jc w:val="center"/>
              <w:rPr>
                <w:b/>
              </w:rPr>
            </w:pPr>
            <w:r w:rsidRPr="008F0791">
              <w:rPr>
                <w:b/>
              </w:rPr>
              <w:t>Zone 3</w:t>
            </w:r>
          </w:p>
        </w:tc>
        <w:tc>
          <w:tcPr>
            <w:tcW w:w="1278" w:type="dxa"/>
            <w:shd w:val="clear" w:color="auto" w:fill="auto"/>
            <w:vAlign w:val="center"/>
          </w:tcPr>
          <w:p w14:paraId="12FB7BC5" w14:textId="77777777" w:rsidR="00A3351D" w:rsidRPr="008F0791" w:rsidRDefault="00A3351D" w:rsidP="008F0791">
            <w:pPr>
              <w:jc w:val="center"/>
              <w:rPr>
                <w:b/>
              </w:rPr>
            </w:pPr>
            <w:r w:rsidRPr="008F0791">
              <w:rPr>
                <w:b/>
              </w:rPr>
              <w:t>Zones 4 &amp; 6</w:t>
            </w:r>
          </w:p>
        </w:tc>
      </w:tr>
      <w:tr w:rsidR="008F0791" w14:paraId="0AEC9458" w14:textId="77777777" w:rsidTr="008F0791">
        <w:tc>
          <w:tcPr>
            <w:tcW w:w="1908" w:type="dxa"/>
            <w:shd w:val="clear" w:color="auto" w:fill="auto"/>
            <w:vAlign w:val="center"/>
          </w:tcPr>
          <w:p w14:paraId="13FB4139" w14:textId="77777777" w:rsidR="00A3351D" w:rsidRPr="008F0791" w:rsidRDefault="00A3351D" w:rsidP="008F0791">
            <w:pPr>
              <w:widowControl/>
              <w:autoSpaceDE/>
              <w:autoSpaceDN/>
              <w:adjustRightInd/>
              <w:jc w:val="center"/>
              <w:rPr>
                <w:color w:val="333333"/>
              </w:rPr>
            </w:pPr>
            <w:r w:rsidRPr="008F0791">
              <w:rPr>
                <w:color w:val="333333"/>
              </w:rPr>
              <w:t>No. 2 &amp; lighter</w:t>
            </w:r>
          </w:p>
          <w:p w14:paraId="2901E5D3" w14:textId="77777777" w:rsidR="00A3351D" w:rsidRPr="008F0791" w:rsidRDefault="00A3351D" w:rsidP="008F0791">
            <w:pPr>
              <w:widowControl/>
              <w:autoSpaceDE/>
              <w:autoSpaceDN/>
              <w:adjustRightInd/>
              <w:jc w:val="center"/>
              <w:rPr>
                <w:color w:val="333333"/>
              </w:rPr>
            </w:pPr>
            <w:r w:rsidRPr="008F0791">
              <w:rPr>
                <w:color w:val="333333"/>
              </w:rPr>
              <w:t>(effective July 1, 2014 through</w:t>
            </w:r>
          </w:p>
          <w:p w14:paraId="48DA9962" w14:textId="77777777" w:rsidR="00A3351D" w:rsidRPr="008F0791" w:rsidRDefault="00A3351D" w:rsidP="008F0791">
            <w:pPr>
              <w:widowControl/>
              <w:autoSpaceDE/>
              <w:autoSpaceDN/>
              <w:adjustRightInd/>
              <w:jc w:val="center"/>
              <w:rPr>
                <w:color w:val="333333"/>
              </w:rPr>
            </w:pPr>
            <w:r w:rsidRPr="008F0791">
              <w:rPr>
                <w:color w:val="333333"/>
              </w:rPr>
              <w:t>June 30, 2016)</w:t>
            </w:r>
          </w:p>
        </w:tc>
        <w:tc>
          <w:tcPr>
            <w:tcW w:w="2610" w:type="dxa"/>
            <w:shd w:val="clear" w:color="auto" w:fill="auto"/>
            <w:vAlign w:val="center"/>
          </w:tcPr>
          <w:p w14:paraId="053B1441" w14:textId="77777777" w:rsidR="00A3351D" w:rsidRPr="008F0791" w:rsidRDefault="00A3351D" w:rsidP="008F0791">
            <w:pPr>
              <w:widowControl/>
              <w:autoSpaceDE/>
              <w:autoSpaceDN/>
              <w:adjustRightInd/>
              <w:jc w:val="center"/>
              <w:rPr>
                <w:color w:val="333333"/>
              </w:rPr>
            </w:pPr>
            <w:r w:rsidRPr="008F0791">
              <w:rPr>
                <w:color w:val="333333"/>
              </w:rPr>
              <w:t>Less than or equal to 45, including gases</w:t>
            </w:r>
          </w:p>
        </w:tc>
        <w:tc>
          <w:tcPr>
            <w:tcW w:w="1260" w:type="dxa"/>
            <w:shd w:val="clear" w:color="auto" w:fill="auto"/>
            <w:vAlign w:val="center"/>
          </w:tcPr>
          <w:p w14:paraId="4684B850" w14:textId="77777777" w:rsidR="00A3351D" w:rsidRPr="00B6071F" w:rsidRDefault="00A3351D" w:rsidP="008F0791">
            <w:pPr>
              <w:jc w:val="center"/>
            </w:pPr>
            <w:r w:rsidRPr="00B6071F">
              <w:t>0.0530</w:t>
            </w:r>
          </w:p>
        </w:tc>
        <w:tc>
          <w:tcPr>
            <w:tcW w:w="1260" w:type="dxa"/>
            <w:shd w:val="clear" w:color="auto" w:fill="auto"/>
            <w:vAlign w:val="center"/>
          </w:tcPr>
          <w:p w14:paraId="6C9F9F77" w14:textId="77777777" w:rsidR="00A3351D" w:rsidRPr="00B6071F" w:rsidRDefault="00A3351D" w:rsidP="008F0791">
            <w:pPr>
              <w:jc w:val="center"/>
            </w:pPr>
            <w:r w:rsidRPr="00B6071F">
              <w:t>0.0530</w:t>
            </w:r>
          </w:p>
        </w:tc>
        <w:tc>
          <w:tcPr>
            <w:tcW w:w="1260" w:type="dxa"/>
            <w:shd w:val="clear" w:color="auto" w:fill="auto"/>
            <w:vAlign w:val="center"/>
          </w:tcPr>
          <w:p w14:paraId="42B5803B" w14:textId="77777777" w:rsidR="00A3351D" w:rsidRPr="00B6071F" w:rsidRDefault="00A3351D" w:rsidP="008F0791">
            <w:pPr>
              <w:jc w:val="center"/>
            </w:pPr>
            <w:r w:rsidRPr="00B6071F">
              <w:t>0.0530</w:t>
            </w:r>
          </w:p>
        </w:tc>
        <w:tc>
          <w:tcPr>
            <w:tcW w:w="1278" w:type="dxa"/>
            <w:shd w:val="clear" w:color="auto" w:fill="auto"/>
            <w:vAlign w:val="center"/>
          </w:tcPr>
          <w:p w14:paraId="480535C5" w14:textId="77777777" w:rsidR="00A3351D" w:rsidRDefault="00A3351D" w:rsidP="008F0791">
            <w:pPr>
              <w:jc w:val="center"/>
            </w:pPr>
            <w:r w:rsidRPr="00B6071F">
              <w:t>0.0530</w:t>
            </w:r>
          </w:p>
        </w:tc>
      </w:tr>
      <w:tr w:rsidR="008F0791" w:rsidRPr="008941FF" w14:paraId="07DC07F5" w14:textId="77777777" w:rsidTr="008F0791">
        <w:tc>
          <w:tcPr>
            <w:tcW w:w="1908" w:type="dxa"/>
            <w:shd w:val="clear" w:color="auto" w:fill="auto"/>
            <w:vAlign w:val="center"/>
          </w:tcPr>
          <w:p w14:paraId="3103BC47" w14:textId="77777777" w:rsidR="00A3351D" w:rsidRPr="008F0791" w:rsidRDefault="00A3351D" w:rsidP="008F0791">
            <w:pPr>
              <w:widowControl/>
              <w:autoSpaceDE/>
              <w:autoSpaceDN/>
              <w:adjustRightInd/>
              <w:jc w:val="center"/>
              <w:rPr>
                <w:color w:val="333333"/>
              </w:rPr>
            </w:pPr>
            <w:r w:rsidRPr="008F0791">
              <w:rPr>
                <w:color w:val="333333"/>
              </w:rPr>
              <w:t>No. 2 &amp; lighter</w:t>
            </w:r>
          </w:p>
          <w:p w14:paraId="775AAE21" w14:textId="77777777" w:rsidR="00A3351D" w:rsidRPr="008F0791" w:rsidRDefault="00A3351D" w:rsidP="008F0791">
            <w:pPr>
              <w:widowControl/>
              <w:autoSpaceDE/>
              <w:autoSpaceDN/>
              <w:adjustRightInd/>
              <w:jc w:val="center"/>
              <w:rPr>
                <w:color w:val="333333"/>
              </w:rPr>
            </w:pPr>
            <w:r w:rsidRPr="008F0791">
              <w:rPr>
                <w:color w:val="333333"/>
              </w:rPr>
              <w:t>(effective July 1, 2016)</w:t>
            </w:r>
          </w:p>
        </w:tc>
        <w:tc>
          <w:tcPr>
            <w:tcW w:w="2610" w:type="dxa"/>
            <w:shd w:val="clear" w:color="auto" w:fill="auto"/>
            <w:vAlign w:val="center"/>
          </w:tcPr>
          <w:p w14:paraId="6CD72CFC" w14:textId="77777777" w:rsidR="00A3351D" w:rsidRPr="008F0791" w:rsidRDefault="00A3351D" w:rsidP="008F0791">
            <w:pPr>
              <w:widowControl/>
              <w:autoSpaceDE/>
              <w:autoSpaceDN/>
              <w:adjustRightInd/>
              <w:jc w:val="center"/>
              <w:rPr>
                <w:color w:val="333333"/>
              </w:rPr>
            </w:pPr>
            <w:r w:rsidRPr="008F0791">
              <w:rPr>
                <w:color w:val="333333"/>
              </w:rPr>
              <w:t>Less than or equal to 45, including gases</w:t>
            </w:r>
          </w:p>
        </w:tc>
        <w:tc>
          <w:tcPr>
            <w:tcW w:w="1260" w:type="dxa"/>
            <w:shd w:val="clear" w:color="auto" w:fill="auto"/>
            <w:vAlign w:val="center"/>
          </w:tcPr>
          <w:p w14:paraId="15E5A946" w14:textId="77777777" w:rsidR="00A3351D" w:rsidRPr="0068321B" w:rsidRDefault="00A3351D" w:rsidP="008F0791">
            <w:pPr>
              <w:jc w:val="center"/>
            </w:pPr>
            <w:r w:rsidRPr="0068321B">
              <w:t>0.00160</w:t>
            </w:r>
          </w:p>
        </w:tc>
        <w:tc>
          <w:tcPr>
            <w:tcW w:w="1260" w:type="dxa"/>
            <w:shd w:val="clear" w:color="auto" w:fill="auto"/>
            <w:vAlign w:val="center"/>
          </w:tcPr>
          <w:p w14:paraId="269BA14C" w14:textId="77777777" w:rsidR="00A3351D" w:rsidRPr="0068321B" w:rsidRDefault="00A3351D" w:rsidP="008F0791">
            <w:pPr>
              <w:jc w:val="center"/>
            </w:pPr>
            <w:r w:rsidRPr="0068321B">
              <w:t>0.00160</w:t>
            </w:r>
          </w:p>
        </w:tc>
        <w:tc>
          <w:tcPr>
            <w:tcW w:w="1260" w:type="dxa"/>
            <w:shd w:val="clear" w:color="auto" w:fill="auto"/>
            <w:vAlign w:val="center"/>
          </w:tcPr>
          <w:p w14:paraId="3B87A34C" w14:textId="77777777" w:rsidR="00A3351D" w:rsidRPr="0068321B" w:rsidRDefault="00A3351D" w:rsidP="008F0791">
            <w:pPr>
              <w:jc w:val="center"/>
            </w:pPr>
            <w:r w:rsidRPr="0068321B">
              <w:t>0.00160</w:t>
            </w:r>
          </w:p>
        </w:tc>
        <w:tc>
          <w:tcPr>
            <w:tcW w:w="1278" w:type="dxa"/>
            <w:shd w:val="clear" w:color="auto" w:fill="auto"/>
            <w:vAlign w:val="center"/>
          </w:tcPr>
          <w:p w14:paraId="5D906769" w14:textId="77777777" w:rsidR="00A3351D" w:rsidRDefault="00A3351D" w:rsidP="008F0791">
            <w:pPr>
              <w:jc w:val="center"/>
            </w:pPr>
            <w:r w:rsidRPr="0068321B">
              <w:t>0.00160</w:t>
            </w:r>
          </w:p>
        </w:tc>
      </w:tr>
      <w:tr w:rsidR="008F0791" w14:paraId="35977E1C" w14:textId="77777777" w:rsidTr="008F0791">
        <w:tc>
          <w:tcPr>
            <w:tcW w:w="1908" w:type="dxa"/>
            <w:shd w:val="clear" w:color="auto" w:fill="auto"/>
            <w:vAlign w:val="center"/>
          </w:tcPr>
          <w:p w14:paraId="1F29E932" w14:textId="77777777" w:rsidR="00A3351D" w:rsidRPr="008F0791" w:rsidRDefault="00A3351D" w:rsidP="008F0791">
            <w:pPr>
              <w:widowControl/>
              <w:autoSpaceDE/>
              <w:autoSpaceDN/>
              <w:adjustRightInd/>
              <w:jc w:val="center"/>
              <w:rPr>
                <w:color w:val="333333"/>
              </w:rPr>
            </w:pPr>
            <w:r w:rsidRPr="008F0791">
              <w:rPr>
                <w:color w:val="333333"/>
              </w:rPr>
              <w:t>No. 4</w:t>
            </w:r>
          </w:p>
          <w:p w14:paraId="25E3D691" w14:textId="77777777" w:rsidR="00A3351D" w:rsidRPr="008F0791" w:rsidRDefault="00A3351D" w:rsidP="008F0791">
            <w:pPr>
              <w:widowControl/>
              <w:autoSpaceDE/>
              <w:autoSpaceDN/>
              <w:adjustRightInd/>
              <w:jc w:val="center"/>
              <w:rPr>
                <w:color w:val="333333"/>
              </w:rPr>
            </w:pPr>
            <w:r w:rsidRPr="008F0791">
              <w:rPr>
                <w:color w:val="333333"/>
              </w:rPr>
              <w:t>(effective July 1, 2014)</w:t>
            </w:r>
          </w:p>
        </w:tc>
        <w:tc>
          <w:tcPr>
            <w:tcW w:w="2610" w:type="dxa"/>
            <w:shd w:val="clear" w:color="auto" w:fill="auto"/>
            <w:vAlign w:val="center"/>
          </w:tcPr>
          <w:p w14:paraId="30AB4361" w14:textId="77777777" w:rsidR="00A3351D" w:rsidRPr="008F0791" w:rsidRDefault="00A3351D" w:rsidP="008F0791">
            <w:pPr>
              <w:widowControl/>
              <w:autoSpaceDE/>
              <w:autoSpaceDN/>
              <w:adjustRightInd/>
              <w:jc w:val="center"/>
              <w:rPr>
                <w:color w:val="333333"/>
              </w:rPr>
            </w:pPr>
            <w:r w:rsidRPr="008F0791">
              <w:rPr>
                <w:color w:val="333333"/>
              </w:rPr>
              <w:t>Greater than 45 but less than 145</w:t>
            </w:r>
          </w:p>
        </w:tc>
        <w:tc>
          <w:tcPr>
            <w:tcW w:w="1260" w:type="dxa"/>
            <w:shd w:val="clear" w:color="auto" w:fill="auto"/>
            <w:vAlign w:val="center"/>
          </w:tcPr>
          <w:p w14:paraId="3544BDC0" w14:textId="77777777" w:rsidR="00A3351D" w:rsidRPr="00427C2E" w:rsidRDefault="00A3351D" w:rsidP="008F0791">
            <w:pPr>
              <w:jc w:val="center"/>
            </w:pPr>
            <w:r w:rsidRPr="00427C2E">
              <w:t>0.260</w:t>
            </w:r>
          </w:p>
        </w:tc>
        <w:tc>
          <w:tcPr>
            <w:tcW w:w="1260" w:type="dxa"/>
            <w:shd w:val="clear" w:color="auto" w:fill="auto"/>
            <w:vAlign w:val="center"/>
          </w:tcPr>
          <w:p w14:paraId="29303C9A" w14:textId="77777777" w:rsidR="00A3351D" w:rsidRPr="00427C2E" w:rsidRDefault="00A3351D" w:rsidP="008F0791">
            <w:pPr>
              <w:jc w:val="center"/>
            </w:pPr>
            <w:r w:rsidRPr="00427C2E">
              <w:t>0.260</w:t>
            </w:r>
          </w:p>
        </w:tc>
        <w:tc>
          <w:tcPr>
            <w:tcW w:w="1260" w:type="dxa"/>
            <w:shd w:val="clear" w:color="auto" w:fill="auto"/>
            <w:vAlign w:val="center"/>
          </w:tcPr>
          <w:p w14:paraId="3A91AF38" w14:textId="77777777" w:rsidR="00A3351D" w:rsidRPr="00427C2E" w:rsidRDefault="00A3351D" w:rsidP="008F0791">
            <w:pPr>
              <w:jc w:val="center"/>
            </w:pPr>
            <w:r w:rsidRPr="00427C2E">
              <w:t>0.260</w:t>
            </w:r>
          </w:p>
        </w:tc>
        <w:tc>
          <w:tcPr>
            <w:tcW w:w="1278" w:type="dxa"/>
            <w:shd w:val="clear" w:color="auto" w:fill="auto"/>
            <w:vAlign w:val="center"/>
          </w:tcPr>
          <w:p w14:paraId="01FBD7EE" w14:textId="77777777" w:rsidR="00A3351D" w:rsidRDefault="00A3351D" w:rsidP="008F0791">
            <w:pPr>
              <w:jc w:val="center"/>
            </w:pPr>
            <w:r w:rsidRPr="00427C2E">
              <w:t>0.260</w:t>
            </w:r>
          </w:p>
        </w:tc>
      </w:tr>
      <w:tr w:rsidR="008F0791" w14:paraId="1341869D" w14:textId="77777777" w:rsidTr="008F0791">
        <w:tc>
          <w:tcPr>
            <w:tcW w:w="1908" w:type="dxa"/>
            <w:shd w:val="clear" w:color="auto" w:fill="auto"/>
            <w:vAlign w:val="center"/>
          </w:tcPr>
          <w:p w14:paraId="0FCDB7F1" w14:textId="77777777" w:rsidR="00A3351D" w:rsidRPr="008F0791" w:rsidRDefault="00A3351D" w:rsidP="008F0791">
            <w:pPr>
              <w:widowControl/>
              <w:autoSpaceDE/>
              <w:autoSpaceDN/>
              <w:adjustRightInd/>
              <w:jc w:val="center"/>
              <w:rPr>
                <w:color w:val="333333"/>
              </w:rPr>
            </w:pPr>
            <w:r w:rsidRPr="008F0791">
              <w:rPr>
                <w:color w:val="333333"/>
              </w:rPr>
              <w:t>No. 5, No. 6 &amp; heavier</w:t>
            </w:r>
          </w:p>
          <w:p w14:paraId="621652C5" w14:textId="77777777" w:rsidR="00A3351D" w:rsidRPr="008F0791" w:rsidRDefault="00A3351D" w:rsidP="008F0791">
            <w:pPr>
              <w:widowControl/>
              <w:autoSpaceDE/>
              <w:autoSpaceDN/>
              <w:adjustRightInd/>
              <w:jc w:val="center"/>
              <w:rPr>
                <w:color w:val="333333"/>
              </w:rPr>
            </w:pPr>
            <w:r w:rsidRPr="008F0791">
              <w:rPr>
                <w:color w:val="333333"/>
              </w:rPr>
              <w:t>(effective July 1, 2014)</w:t>
            </w:r>
          </w:p>
        </w:tc>
        <w:tc>
          <w:tcPr>
            <w:tcW w:w="2610" w:type="dxa"/>
            <w:shd w:val="clear" w:color="auto" w:fill="auto"/>
            <w:vAlign w:val="center"/>
          </w:tcPr>
          <w:p w14:paraId="0D722E94" w14:textId="77777777" w:rsidR="00A3351D" w:rsidRPr="008F0791" w:rsidRDefault="00A3351D" w:rsidP="008F0791">
            <w:pPr>
              <w:widowControl/>
              <w:autoSpaceDE/>
              <w:autoSpaceDN/>
              <w:adjustRightInd/>
              <w:jc w:val="center"/>
              <w:rPr>
                <w:color w:val="333333"/>
              </w:rPr>
            </w:pPr>
            <w:r w:rsidRPr="008F0791">
              <w:rPr>
                <w:color w:val="333333"/>
              </w:rPr>
              <w:t>Equal to or greater than 145</w:t>
            </w:r>
          </w:p>
        </w:tc>
        <w:tc>
          <w:tcPr>
            <w:tcW w:w="1260" w:type="dxa"/>
            <w:shd w:val="clear" w:color="auto" w:fill="auto"/>
            <w:vAlign w:val="center"/>
          </w:tcPr>
          <w:p w14:paraId="7071A387" w14:textId="77777777" w:rsidR="00A3351D" w:rsidRPr="00224CEE" w:rsidRDefault="00A3351D" w:rsidP="008F0791">
            <w:pPr>
              <w:jc w:val="center"/>
            </w:pPr>
            <w:r w:rsidRPr="00224CEE">
              <w:t>0.530</w:t>
            </w:r>
          </w:p>
        </w:tc>
        <w:tc>
          <w:tcPr>
            <w:tcW w:w="1260" w:type="dxa"/>
            <w:shd w:val="clear" w:color="auto" w:fill="auto"/>
            <w:vAlign w:val="center"/>
          </w:tcPr>
          <w:p w14:paraId="529B61FC" w14:textId="77777777" w:rsidR="00A3351D" w:rsidRPr="00224CEE" w:rsidRDefault="00A3351D" w:rsidP="008F0791">
            <w:pPr>
              <w:jc w:val="center"/>
            </w:pPr>
            <w:r w:rsidRPr="00224CEE">
              <w:t>0.530</w:t>
            </w:r>
          </w:p>
        </w:tc>
        <w:tc>
          <w:tcPr>
            <w:tcW w:w="1260" w:type="dxa"/>
            <w:shd w:val="clear" w:color="auto" w:fill="auto"/>
            <w:vAlign w:val="center"/>
          </w:tcPr>
          <w:p w14:paraId="2E0AE8C6" w14:textId="77777777" w:rsidR="00A3351D" w:rsidRPr="00224CEE" w:rsidRDefault="00A3351D" w:rsidP="008F0791">
            <w:pPr>
              <w:jc w:val="center"/>
            </w:pPr>
            <w:r w:rsidRPr="00224CEE">
              <w:t>0.530</w:t>
            </w:r>
          </w:p>
        </w:tc>
        <w:tc>
          <w:tcPr>
            <w:tcW w:w="1278" w:type="dxa"/>
            <w:shd w:val="clear" w:color="auto" w:fill="auto"/>
            <w:vAlign w:val="center"/>
          </w:tcPr>
          <w:p w14:paraId="7390C0CE" w14:textId="77777777" w:rsidR="00A3351D" w:rsidRPr="00224CEE" w:rsidRDefault="00A3351D" w:rsidP="008F0791">
            <w:pPr>
              <w:jc w:val="center"/>
            </w:pPr>
            <w:r w:rsidRPr="00224CEE">
              <w:t>0.320</w:t>
            </w:r>
          </w:p>
        </w:tc>
      </w:tr>
    </w:tbl>
    <w:p w14:paraId="53D5FE8A" w14:textId="77777777" w:rsidR="007C2C84" w:rsidRPr="007C2C84" w:rsidRDefault="007C2C84" w:rsidP="00155749">
      <w:pPr>
        <w:widowControl/>
        <w:autoSpaceDE/>
        <w:autoSpaceDN/>
        <w:adjustRightInd/>
        <w:rPr>
          <w:vanish/>
          <w:color w:val="333333"/>
        </w:rPr>
      </w:pPr>
    </w:p>
    <w:p w14:paraId="5392D53D" w14:textId="77777777" w:rsidR="00196461" w:rsidRDefault="00196461" w:rsidP="00196461">
      <w:pPr>
        <w:widowControl/>
        <w:autoSpaceDE/>
        <w:autoSpaceDN/>
        <w:adjustRightInd/>
        <w:ind w:left="720" w:hanging="720"/>
      </w:pPr>
    </w:p>
    <w:p w14:paraId="430B6E96" w14:textId="77777777" w:rsidR="00196461" w:rsidRDefault="00196461" w:rsidP="00196461">
      <w:pPr>
        <w:widowControl/>
        <w:autoSpaceDE/>
        <w:autoSpaceDN/>
        <w:adjustRightInd/>
        <w:ind w:left="720" w:hanging="720"/>
      </w:pPr>
      <w:r>
        <w:t>(d)</w:t>
      </w:r>
      <w:r>
        <w:tab/>
      </w:r>
      <w:r w:rsidR="007C2C84" w:rsidRPr="007C2C84">
        <w:t xml:space="preserve">The provisions of (a) and (b) above shall not apply to fuels included in an alternative emission control plan based on a mathematical combination approved by the Department. </w:t>
      </w:r>
      <w:r>
        <w:t xml:space="preserve"> </w:t>
      </w:r>
      <w:r w:rsidR="007C2C84" w:rsidRPr="007C2C84">
        <w:t xml:space="preserve">Application for such approval shall be </w:t>
      </w:r>
      <w:r w:rsidR="007C2C84" w:rsidRPr="00196461">
        <w:rPr>
          <w:color w:val="333333"/>
        </w:rPr>
        <w:t>made</w:t>
      </w:r>
      <w:r w:rsidR="007C2C84" w:rsidRPr="007C2C84">
        <w:t xml:space="preserve"> to the Department in writing and must include:</w:t>
      </w:r>
    </w:p>
    <w:p w14:paraId="289E39C6" w14:textId="77777777" w:rsidR="00196461" w:rsidRDefault="00196461" w:rsidP="00196461">
      <w:pPr>
        <w:widowControl/>
        <w:autoSpaceDE/>
        <w:autoSpaceDN/>
        <w:adjustRightInd/>
        <w:ind w:left="720" w:hanging="720"/>
      </w:pPr>
    </w:p>
    <w:p w14:paraId="591B2D21" w14:textId="77777777" w:rsidR="00196461" w:rsidRDefault="00196461" w:rsidP="00196461">
      <w:pPr>
        <w:widowControl/>
        <w:autoSpaceDE/>
        <w:autoSpaceDN/>
        <w:adjustRightInd/>
        <w:ind w:left="1440" w:hanging="720"/>
      </w:pPr>
      <w:r>
        <w:t>1.</w:t>
      </w:r>
      <w:r>
        <w:tab/>
      </w:r>
      <w:r w:rsidR="007C2C84" w:rsidRPr="007C2C84">
        <w:t>Certification that all source operations to be included in the mathematical combination are under the control of, or operated by, one person;</w:t>
      </w:r>
    </w:p>
    <w:p w14:paraId="029F40C8" w14:textId="77777777" w:rsidR="00196461" w:rsidRDefault="00196461" w:rsidP="00196461">
      <w:pPr>
        <w:widowControl/>
        <w:autoSpaceDE/>
        <w:autoSpaceDN/>
        <w:adjustRightInd/>
        <w:ind w:left="1440" w:hanging="720"/>
      </w:pPr>
    </w:p>
    <w:p w14:paraId="3284DA73" w14:textId="77777777" w:rsidR="00196461" w:rsidRDefault="00196461" w:rsidP="00196461">
      <w:pPr>
        <w:widowControl/>
        <w:autoSpaceDE/>
        <w:autoSpaceDN/>
        <w:adjustRightInd/>
        <w:ind w:left="1440" w:hanging="720"/>
      </w:pPr>
      <w:r>
        <w:t>2.</w:t>
      </w:r>
      <w:r>
        <w:tab/>
      </w:r>
      <w:r w:rsidR="007C2C84" w:rsidRPr="007C2C84">
        <w:t xml:space="preserve">Certification that the total sulfur dioxide emissions from the mathematical combination during each 24-hour period will not exceed the quantity of sulfur </w:t>
      </w:r>
      <w:r w:rsidR="007C2C84" w:rsidRPr="007C2C84">
        <w:lastRenderedPageBreak/>
        <w:t>dioxide expressed in pounds per million BTU gross heat input set forth in Tables 2A and 2B of this section;</w:t>
      </w:r>
    </w:p>
    <w:p w14:paraId="2DBD448C" w14:textId="77777777" w:rsidR="00196461" w:rsidRDefault="00196461" w:rsidP="00196461">
      <w:pPr>
        <w:widowControl/>
        <w:autoSpaceDE/>
        <w:autoSpaceDN/>
        <w:adjustRightInd/>
        <w:ind w:left="1440" w:hanging="720"/>
      </w:pPr>
    </w:p>
    <w:p w14:paraId="50FB8660" w14:textId="77777777" w:rsidR="00196461" w:rsidRDefault="00196461" w:rsidP="00196461">
      <w:pPr>
        <w:widowControl/>
        <w:autoSpaceDE/>
        <w:autoSpaceDN/>
        <w:adjustRightInd/>
        <w:ind w:left="1440" w:hanging="720"/>
      </w:pPr>
      <w:r>
        <w:t>3.</w:t>
      </w:r>
      <w:r>
        <w:tab/>
      </w:r>
      <w:r w:rsidR="007C2C84" w:rsidRPr="007C2C84">
        <w:t>Certification that the total sulfur dioxide emissions from the mathematical combination during each 24-hour period will not exceed the maximum total weight of sulfur dioxide that all the sources in the mathematical combination were allowed to emit at the time of applying;</w:t>
      </w:r>
    </w:p>
    <w:p w14:paraId="5C5EF0B5" w14:textId="77777777" w:rsidR="00196461" w:rsidRDefault="00196461" w:rsidP="00196461">
      <w:pPr>
        <w:widowControl/>
        <w:autoSpaceDE/>
        <w:autoSpaceDN/>
        <w:adjustRightInd/>
        <w:ind w:left="1440" w:hanging="720"/>
      </w:pPr>
    </w:p>
    <w:p w14:paraId="414535CE" w14:textId="77777777" w:rsidR="00196461" w:rsidRDefault="00196461" w:rsidP="00196461">
      <w:pPr>
        <w:widowControl/>
        <w:autoSpaceDE/>
        <w:autoSpaceDN/>
        <w:adjustRightInd/>
        <w:ind w:left="1440" w:hanging="720"/>
      </w:pPr>
      <w:r>
        <w:t>4.</w:t>
      </w:r>
      <w:r>
        <w:tab/>
      </w:r>
      <w:r w:rsidR="007C2C84" w:rsidRPr="007C2C84">
        <w:t>Identification of each fuel burning unit and stack to be included in the mathematical combination;</w:t>
      </w:r>
    </w:p>
    <w:p w14:paraId="172E08D0" w14:textId="77777777" w:rsidR="00196461" w:rsidRDefault="00196461" w:rsidP="00196461">
      <w:pPr>
        <w:widowControl/>
        <w:autoSpaceDE/>
        <w:autoSpaceDN/>
        <w:adjustRightInd/>
        <w:ind w:left="1440" w:hanging="720"/>
      </w:pPr>
    </w:p>
    <w:p w14:paraId="5C14D965" w14:textId="77777777" w:rsidR="00196461" w:rsidRDefault="00196461" w:rsidP="00196461">
      <w:pPr>
        <w:widowControl/>
        <w:autoSpaceDE/>
        <w:autoSpaceDN/>
        <w:adjustRightInd/>
        <w:ind w:left="1440" w:hanging="720"/>
      </w:pPr>
      <w:r>
        <w:t>5.</w:t>
      </w:r>
      <w:r>
        <w:tab/>
      </w:r>
      <w:r w:rsidR="007C2C84" w:rsidRPr="007C2C84">
        <w:t>Identification of the grades of fuel to be burned in each unit, the maximum sulfur content of each fuel to be burned in each unit, the maximum gross heat input rate for each unit, the higher heating value of each fuel, and the annual fuel use and operating hours per year for each unit;</w:t>
      </w:r>
    </w:p>
    <w:p w14:paraId="26E4DC9F" w14:textId="77777777" w:rsidR="00196461" w:rsidRDefault="00196461" w:rsidP="00196461">
      <w:pPr>
        <w:widowControl/>
        <w:autoSpaceDE/>
        <w:autoSpaceDN/>
        <w:adjustRightInd/>
        <w:ind w:left="1440" w:hanging="720"/>
      </w:pPr>
    </w:p>
    <w:p w14:paraId="34F08CF0" w14:textId="77777777" w:rsidR="00196461" w:rsidRDefault="00196461" w:rsidP="00196461">
      <w:pPr>
        <w:widowControl/>
        <w:autoSpaceDE/>
        <w:autoSpaceDN/>
        <w:adjustRightInd/>
        <w:ind w:left="1440" w:hanging="720"/>
      </w:pPr>
      <w:r>
        <w:t>6.</w:t>
      </w:r>
      <w:r>
        <w:tab/>
      </w:r>
      <w:r w:rsidR="007C2C84" w:rsidRPr="007C2C84">
        <w:t xml:space="preserve">An application for a permit for any fuel burning unit that must be altered or for any fuel burning unit in which fuel is to be burned having a sulfur content in excess of the applicable limits specified in Tables 1A and 1B of this section. </w:t>
      </w:r>
      <w:r>
        <w:t xml:space="preserve"> </w:t>
      </w:r>
      <w:r w:rsidR="007C2C84" w:rsidRPr="007C2C84">
        <w:t>The permit may be a preconstruction permit and certificate under N.J.A.C. 7:27-8, an operating permit under N.J.A.C. 7:27-22 or a facility-wide permit as defined at N.J.A.C. 7:1K-1.5;</w:t>
      </w:r>
    </w:p>
    <w:p w14:paraId="0B5BB07A" w14:textId="77777777" w:rsidR="00196461" w:rsidRDefault="00196461" w:rsidP="00196461">
      <w:pPr>
        <w:widowControl/>
        <w:autoSpaceDE/>
        <w:autoSpaceDN/>
        <w:adjustRightInd/>
        <w:ind w:left="1440" w:hanging="720"/>
      </w:pPr>
    </w:p>
    <w:p w14:paraId="578DF144" w14:textId="77777777" w:rsidR="00196461" w:rsidRDefault="00196461" w:rsidP="00196461">
      <w:pPr>
        <w:widowControl/>
        <w:autoSpaceDE/>
        <w:autoSpaceDN/>
        <w:adjustRightInd/>
        <w:ind w:left="1440" w:hanging="720"/>
      </w:pPr>
      <w:r>
        <w:t>7.</w:t>
      </w:r>
      <w:r>
        <w:tab/>
      </w:r>
      <w:r w:rsidR="007C2C84" w:rsidRPr="007C2C84">
        <w:t>A demonstration by air quality simulation modelling acceptable to the Department, including aerodynamic downwash modelling, unless waived in accordance with the provisions of N.J.A.C. 7:27-9.4, that increases in air contaminants resulting from use of the alternative emission control plan will not cause any ambient air quality standard to be exceeded, or cause any allowable prevention of significant deterioration ambient air increment as established by the United States Environmental Protection Agency to be exceeded; and in areas where an ambient air quality standard is already exceeded, will not cause an increase in ambient air concentrations greater than the threshold increases set forth in Table 1 of N.J.A.C. 7:27-18.4;</w:t>
      </w:r>
    </w:p>
    <w:p w14:paraId="7B6D9956" w14:textId="77777777" w:rsidR="00196461" w:rsidRDefault="00196461" w:rsidP="00196461">
      <w:pPr>
        <w:widowControl/>
        <w:autoSpaceDE/>
        <w:autoSpaceDN/>
        <w:adjustRightInd/>
        <w:ind w:left="1440" w:hanging="720"/>
      </w:pPr>
    </w:p>
    <w:p w14:paraId="36A07E11" w14:textId="77777777" w:rsidR="00196461" w:rsidRDefault="00196461" w:rsidP="00196461">
      <w:pPr>
        <w:widowControl/>
        <w:autoSpaceDE/>
        <w:autoSpaceDN/>
        <w:adjustRightInd/>
        <w:ind w:left="1440" w:hanging="720"/>
      </w:pPr>
      <w:r>
        <w:t>8.</w:t>
      </w:r>
      <w:r>
        <w:tab/>
      </w:r>
      <w:r w:rsidR="007C2C84" w:rsidRPr="007C2C84">
        <w:t>Sufficient information to evaluate aerodynamic downwash effects including a site plan, heights of all structures within 1,000 feet (305 meters) of the stacks in the mathematical combination, and the topography of the area within 1,000 feet (305 meters) of the stacks in the mathematical combination; and</w:t>
      </w:r>
    </w:p>
    <w:p w14:paraId="46111589" w14:textId="77777777" w:rsidR="00196461" w:rsidRDefault="00196461" w:rsidP="00196461">
      <w:pPr>
        <w:widowControl/>
        <w:autoSpaceDE/>
        <w:autoSpaceDN/>
        <w:adjustRightInd/>
        <w:ind w:left="1440" w:hanging="720"/>
      </w:pPr>
    </w:p>
    <w:p w14:paraId="18740DED" w14:textId="77777777" w:rsidR="00196461" w:rsidRDefault="00196461" w:rsidP="00196461">
      <w:pPr>
        <w:widowControl/>
        <w:autoSpaceDE/>
        <w:autoSpaceDN/>
        <w:adjustRightInd/>
        <w:ind w:left="1440" w:hanging="720"/>
      </w:pPr>
      <w:r>
        <w:t>9.</w:t>
      </w:r>
      <w:r>
        <w:tab/>
      </w:r>
      <w:r w:rsidR="007C2C84" w:rsidRPr="007C2C84">
        <w:t>A guarantee that fuel analyses will be submitted at intervals specified by the Department.</w:t>
      </w:r>
    </w:p>
    <w:p w14:paraId="3746F8D1" w14:textId="77777777" w:rsidR="00196461" w:rsidRDefault="00196461" w:rsidP="00196461">
      <w:pPr>
        <w:widowControl/>
        <w:autoSpaceDE/>
        <w:autoSpaceDN/>
        <w:adjustRightInd/>
        <w:ind w:left="1440" w:hanging="720"/>
      </w:pPr>
    </w:p>
    <w:p w14:paraId="38C43AD9" w14:textId="77777777" w:rsidR="00196461" w:rsidRDefault="00196461" w:rsidP="00196461">
      <w:pPr>
        <w:widowControl/>
        <w:autoSpaceDE/>
        <w:autoSpaceDN/>
        <w:adjustRightInd/>
        <w:ind w:left="720" w:hanging="720"/>
      </w:pPr>
      <w:r>
        <w:t>(e)</w:t>
      </w:r>
      <w:r>
        <w:tab/>
      </w:r>
      <w:r w:rsidR="007C2C84" w:rsidRPr="007C2C84">
        <w:t xml:space="preserve">The provisions of (a), (b), (c), and (d) above shall not apply whenever a person responsible for the sulfur dioxide emissions from a facility into the outdoor air resulting from the combustion of facility by-products alone, or from the combustion of facility by-products combined with fuels conforming with this section, can demonstrate to the </w:t>
      </w:r>
      <w:r w:rsidR="007C2C84" w:rsidRPr="007C2C84">
        <w:lastRenderedPageBreak/>
        <w:t>Department that the facility's emissions are predictable and will in no case exceed 310 ppm by volume adjusted to 12 percent carbon dioxide by volume.</w:t>
      </w:r>
      <w:r>
        <w:t xml:space="preserve"> </w:t>
      </w:r>
      <w:r w:rsidR="007C2C84" w:rsidRPr="007C2C84">
        <w:t xml:space="preserve"> In such cases, the Department may establish conditions as it deems appropriate including, but not limited to, requiring sampling and analysis of emissions of sulfur dioxide, periodic fuel analysis and the periodic submission of data.</w:t>
      </w:r>
    </w:p>
    <w:p w14:paraId="5B127743" w14:textId="77777777" w:rsidR="00196461" w:rsidRDefault="00196461" w:rsidP="00196461">
      <w:pPr>
        <w:widowControl/>
        <w:autoSpaceDE/>
        <w:autoSpaceDN/>
        <w:adjustRightInd/>
        <w:ind w:left="720" w:hanging="720"/>
      </w:pPr>
    </w:p>
    <w:p w14:paraId="6E763CC6" w14:textId="77777777" w:rsidR="003D61E3" w:rsidRPr="007C2C84" w:rsidRDefault="00196461" w:rsidP="00196461">
      <w:pPr>
        <w:widowControl/>
        <w:autoSpaceDE/>
        <w:autoSpaceDN/>
        <w:adjustRightInd/>
        <w:ind w:left="720" w:hanging="720"/>
      </w:pPr>
      <w:r>
        <w:t>(f)</w:t>
      </w:r>
      <w:r>
        <w:tab/>
      </w:r>
      <w:r w:rsidR="007C2C84" w:rsidRPr="007C2C84">
        <w:t>If the identified grade of fuel oil does not agree with the classification by viscosity set forth in Tables 1A and 1B and Tables 2A and 2B, then he allowable parts per million sulfur by weight shall be determined by</w:t>
      </w:r>
      <w:r>
        <w:t xml:space="preserve"> the viscosity classification.</w:t>
      </w:r>
      <w:r>
        <w:br/>
      </w:r>
      <w:r w:rsidR="007C2C84" w:rsidRPr="007C2C84">
        <w:t> </w:t>
      </w:r>
    </w:p>
    <w:p w14:paraId="4906664D" w14:textId="77777777" w:rsidR="00196461" w:rsidRDefault="003D61E3" w:rsidP="00155749">
      <w:pPr>
        <w:pStyle w:val="Heading1"/>
        <w:spacing w:before="0" w:after="0"/>
        <w:rPr>
          <w:rFonts w:ascii="Times New Roman" w:hAnsi="Times New Roman" w:cs="Times New Roman"/>
          <w:sz w:val="24"/>
          <w:szCs w:val="24"/>
        </w:rPr>
      </w:pPr>
      <w:bookmarkStart w:id="2" w:name="_Toc227396873"/>
      <w:r w:rsidRPr="007C2C84">
        <w:rPr>
          <w:rFonts w:ascii="Times New Roman" w:hAnsi="Times New Roman" w:cs="Times New Roman"/>
          <w:sz w:val="24"/>
          <w:szCs w:val="24"/>
        </w:rPr>
        <w:t>7:27-9.3</w:t>
      </w:r>
      <w:r w:rsidRPr="007C2C84">
        <w:rPr>
          <w:rFonts w:ascii="Times New Roman" w:hAnsi="Times New Roman" w:cs="Times New Roman"/>
          <w:sz w:val="24"/>
          <w:szCs w:val="24"/>
        </w:rPr>
        <w:tab/>
        <w:t>Exemptions</w:t>
      </w:r>
      <w:bookmarkEnd w:id="2"/>
    </w:p>
    <w:p w14:paraId="158F60E1" w14:textId="77777777" w:rsidR="003D61E3" w:rsidRPr="007C2C84" w:rsidRDefault="003D61E3" w:rsidP="00155749">
      <w:pPr>
        <w:pStyle w:val="Heading1"/>
        <w:spacing w:before="0" w:after="0"/>
        <w:rPr>
          <w:rFonts w:ascii="Times New Roman" w:hAnsi="Times New Roman" w:cs="Times New Roman"/>
          <w:sz w:val="24"/>
          <w:szCs w:val="24"/>
        </w:rPr>
      </w:pPr>
      <w:r w:rsidRPr="007C2C84">
        <w:rPr>
          <w:rFonts w:ascii="Times New Roman" w:hAnsi="Times New Roman" w:cs="Times New Roman"/>
          <w:sz w:val="24"/>
          <w:szCs w:val="24"/>
        </w:rPr>
        <w:fldChar w:fldCharType="begin"/>
      </w:r>
      <w:r w:rsidRPr="007C2C84">
        <w:rPr>
          <w:rFonts w:ascii="Times New Roman" w:hAnsi="Times New Roman" w:cs="Times New Roman"/>
          <w:sz w:val="24"/>
          <w:szCs w:val="24"/>
        </w:rPr>
        <w:instrText>tc \l1 "7:27-9.3</w:instrText>
      </w:r>
      <w:r w:rsidRPr="007C2C84">
        <w:rPr>
          <w:rFonts w:ascii="Times New Roman" w:hAnsi="Times New Roman" w:cs="Times New Roman"/>
          <w:sz w:val="24"/>
          <w:szCs w:val="24"/>
        </w:rPr>
        <w:tab/>
        <w:instrText>Exemptions</w:instrText>
      </w:r>
      <w:r w:rsidRPr="007C2C84">
        <w:rPr>
          <w:rFonts w:ascii="Times New Roman" w:hAnsi="Times New Roman" w:cs="Times New Roman"/>
          <w:sz w:val="24"/>
          <w:szCs w:val="24"/>
        </w:rPr>
        <w:fldChar w:fldCharType="end"/>
      </w:r>
    </w:p>
    <w:p w14:paraId="38846776" w14:textId="77777777" w:rsidR="00196461" w:rsidRDefault="00196461" w:rsidP="00196461">
      <w:pPr>
        <w:widowControl/>
        <w:autoSpaceDE/>
        <w:autoSpaceDN/>
        <w:adjustRightInd/>
        <w:ind w:left="720" w:hanging="720"/>
      </w:pPr>
      <w:r>
        <w:t>(a)</w:t>
      </w:r>
      <w:r>
        <w:tab/>
      </w:r>
      <w:r w:rsidR="007C2C84" w:rsidRPr="007C2C84">
        <w:t>The provisions of this subchapter shall not apply to fuel used by ocean-going vessels or in motor vehicles.</w:t>
      </w:r>
    </w:p>
    <w:p w14:paraId="4A81FDE5" w14:textId="77777777" w:rsidR="00554176" w:rsidRDefault="00554176" w:rsidP="00196461">
      <w:pPr>
        <w:widowControl/>
        <w:autoSpaceDE/>
        <w:autoSpaceDN/>
        <w:adjustRightInd/>
        <w:ind w:left="720" w:hanging="720"/>
      </w:pPr>
    </w:p>
    <w:p w14:paraId="77F626D6" w14:textId="77777777" w:rsidR="003D61E3" w:rsidRDefault="00554176" w:rsidP="00196461">
      <w:pPr>
        <w:widowControl/>
        <w:autoSpaceDE/>
        <w:autoSpaceDN/>
        <w:adjustRightInd/>
        <w:ind w:left="720" w:hanging="720"/>
      </w:pPr>
      <w:r>
        <w:t>(b)</w:t>
      </w:r>
      <w:r>
        <w:tab/>
      </w:r>
      <w:r w:rsidR="007C2C84" w:rsidRPr="007C2C84">
        <w:t>The Department will set such standards for the sulfur contents of fuel as may be necessary to prevent violation of air quality standards where it is determined that an aerodynamic downwash problem exists as the result of emissions from a source or sources of air pollution.</w:t>
      </w:r>
    </w:p>
    <w:p w14:paraId="393CC81E" w14:textId="77777777" w:rsidR="00537BC4" w:rsidRPr="007C2C84" w:rsidRDefault="00537BC4" w:rsidP="00155749">
      <w:pPr>
        <w:pStyle w:val="NoSpacing"/>
      </w:pPr>
    </w:p>
    <w:p w14:paraId="6BD601C9" w14:textId="77777777" w:rsidR="00196461" w:rsidRDefault="003D61E3" w:rsidP="00155749">
      <w:pPr>
        <w:pStyle w:val="Heading1"/>
        <w:spacing w:before="0" w:after="0"/>
        <w:rPr>
          <w:rFonts w:ascii="Times New Roman" w:hAnsi="Times New Roman" w:cs="Times New Roman"/>
          <w:sz w:val="24"/>
          <w:szCs w:val="24"/>
        </w:rPr>
      </w:pPr>
      <w:bookmarkStart w:id="3" w:name="_Toc227396874"/>
      <w:r w:rsidRPr="007C2C84">
        <w:rPr>
          <w:rFonts w:ascii="Times New Roman" w:hAnsi="Times New Roman" w:cs="Times New Roman"/>
          <w:sz w:val="24"/>
          <w:szCs w:val="24"/>
        </w:rPr>
        <w:t>7:27-9.4</w:t>
      </w:r>
      <w:r w:rsidRPr="007C2C84">
        <w:rPr>
          <w:rFonts w:ascii="Times New Roman" w:hAnsi="Times New Roman" w:cs="Times New Roman"/>
          <w:sz w:val="24"/>
          <w:szCs w:val="24"/>
        </w:rPr>
        <w:tab/>
        <w:t>Waiver of air quality modelin</w:t>
      </w:r>
      <w:bookmarkEnd w:id="3"/>
      <w:r w:rsidR="00AA6F51">
        <w:rPr>
          <w:rFonts w:ascii="Times New Roman" w:hAnsi="Times New Roman" w:cs="Times New Roman"/>
          <w:sz w:val="24"/>
          <w:szCs w:val="24"/>
        </w:rPr>
        <w:t>g</w:t>
      </w:r>
    </w:p>
    <w:p w14:paraId="0C0F6286" w14:textId="77777777" w:rsidR="003D61E3" w:rsidRPr="00537BC4" w:rsidRDefault="003D61E3" w:rsidP="00155749">
      <w:pPr>
        <w:pStyle w:val="Heading1"/>
        <w:spacing w:before="0" w:after="0"/>
        <w:rPr>
          <w:rFonts w:ascii="Times New Roman" w:hAnsi="Times New Roman" w:cs="Times New Roman"/>
          <w:sz w:val="24"/>
          <w:szCs w:val="24"/>
        </w:rPr>
      </w:pPr>
      <w:r w:rsidRPr="007C2C84">
        <w:rPr>
          <w:rFonts w:ascii="Times New Roman" w:hAnsi="Times New Roman" w:cs="Times New Roman"/>
          <w:sz w:val="24"/>
          <w:szCs w:val="24"/>
        </w:rPr>
        <w:fldChar w:fldCharType="begin"/>
      </w:r>
      <w:r w:rsidRPr="007C2C84">
        <w:rPr>
          <w:rFonts w:ascii="Times New Roman" w:hAnsi="Times New Roman" w:cs="Times New Roman"/>
          <w:sz w:val="24"/>
          <w:szCs w:val="24"/>
        </w:rPr>
        <w:instrText>tc \l1 "7:27-9.4</w:instrText>
      </w:r>
      <w:r w:rsidRPr="007C2C84">
        <w:rPr>
          <w:rFonts w:ascii="Times New Roman" w:hAnsi="Times New Roman" w:cs="Times New Roman"/>
          <w:sz w:val="24"/>
          <w:szCs w:val="24"/>
        </w:rPr>
        <w:tab/>
        <w:instrText>Waiver of air quality modelling</w:instrText>
      </w:r>
      <w:r w:rsidRPr="007C2C84">
        <w:rPr>
          <w:rFonts w:ascii="Times New Roman" w:hAnsi="Times New Roman" w:cs="Times New Roman"/>
          <w:sz w:val="24"/>
          <w:szCs w:val="24"/>
        </w:rPr>
        <w:fldChar w:fldCharType="end"/>
      </w:r>
    </w:p>
    <w:p w14:paraId="454374BD" w14:textId="77777777" w:rsidR="00554176" w:rsidRDefault="00196461" w:rsidP="00196461">
      <w:pPr>
        <w:widowControl/>
        <w:autoSpaceDE/>
        <w:autoSpaceDN/>
        <w:adjustRightInd/>
        <w:ind w:left="720" w:hanging="720"/>
      </w:pPr>
      <w:r>
        <w:t>(a)</w:t>
      </w:r>
      <w:r>
        <w:tab/>
      </w:r>
      <w:r w:rsidR="007C2C84" w:rsidRPr="007C2C84">
        <w:t>The Department may waive the air quality simulation modelling requirements of N.J.A.C. 7:27-9.2(d) if the applicant demonstrates that:</w:t>
      </w:r>
    </w:p>
    <w:p w14:paraId="47E24A21" w14:textId="77777777" w:rsidR="00554176" w:rsidRDefault="00554176" w:rsidP="00196461">
      <w:pPr>
        <w:widowControl/>
        <w:autoSpaceDE/>
        <w:autoSpaceDN/>
        <w:adjustRightInd/>
        <w:ind w:left="720" w:hanging="720"/>
      </w:pPr>
    </w:p>
    <w:p w14:paraId="4F42BB2A" w14:textId="77777777" w:rsidR="00554176" w:rsidRDefault="00554176" w:rsidP="00554176">
      <w:pPr>
        <w:widowControl/>
        <w:autoSpaceDE/>
        <w:autoSpaceDN/>
        <w:adjustRightInd/>
        <w:ind w:left="1440" w:hanging="720"/>
      </w:pPr>
      <w:r>
        <w:t>1.</w:t>
      </w:r>
      <w:r>
        <w:tab/>
      </w:r>
      <w:r w:rsidR="007C2C84" w:rsidRPr="007C2C84">
        <w:t>The effective heights, as determined in accordance with the provisions of (b) below, of the stacks to be included in the mathematical combination are equal, or that the emissions from the fuel having the greatest sulfur content will be discharged to the atmosphere from the stack having the greatest effective height;</w:t>
      </w:r>
    </w:p>
    <w:p w14:paraId="4E1318AB" w14:textId="77777777" w:rsidR="00554176" w:rsidRDefault="00554176" w:rsidP="00554176">
      <w:pPr>
        <w:widowControl/>
        <w:autoSpaceDE/>
        <w:autoSpaceDN/>
        <w:adjustRightInd/>
        <w:ind w:left="1440" w:hanging="720"/>
      </w:pPr>
    </w:p>
    <w:p w14:paraId="4DA62CDD" w14:textId="77777777" w:rsidR="00554176" w:rsidRDefault="00554176" w:rsidP="00554176">
      <w:pPr>
        <w:widowControl/>
        <w:autoSpaceDE/>
        <w:autoSpaceDN/>
        <w:adjustRightInd/>
        <w:ind w:left="1440" w:hanging="720"/>
      </w:pPr>
      <w:r>
        <w:t>2.</w:t>
      </w:r>
      <w:r>
        <w:tab/>
      </w:r>
      <w:r w:rsidR="007C2C84" w:rsidRPr="007C2C84">
        <w:t>The total maximum SO</w:t>
      </w:r>
      <w:r w:rsidR="007C2C84" w:rsidRPr="00155749">
        <w:rPr>
          <w:vertAlign w:val="subscript"/>
        </w:rPr>
        <w:t>2</w:t>
      </w:r>
      <w:r w:rsidR="007C2C84" w:rsidRPr="007C2C84">
        <w:t xml:space="preserve"> emission rate for all source gases to be included in the mathematical combination is no greater than 800 pounds per hour (363 Kg/hr);</w:t>
      </w:r>
    </w:p>
    <w:p w14:paraId="7B1404D4" w14:textId="77777777" w:rsidR="00554176" w:rsidRDefault="00554176" w:rsidP="00554176">
      <w:pPr>
        <w:widowControl/>
        <w:autoSpaceDE/>
        <w:autoSpaceDN/>
        <w:adjustRightInd/>
        <w:ind w:left="1440" w:hanging="720"/>
      </w:pPr>
    </w:p>
    <w:p w14:paraId="4A0A4475" w14:textId="77777777" w:rsidR="00554176" w:rsidRDefault="00554176" w:rsidP="00554176">
      <w:pPr>
        <w:widowControl/>
        <w:autoSpaceDE/>
        <w:autoSpaceDN/>
        <w:adjustRightInd/>
        <w:ind w:left="1440" w:hanging="720"/>
      </w:pPr>
      <w:r>
        <w:t>3.</w:t>
      </w:r>
      <w:r>
        <w:tab/>
      </w:r>
      <w:r w:rsidR="007C2C84" w:rsidRPr="007C2C84">
        <w:t>No stack in the mathematical combination is separated from any other stack by a distance measured from the stack center lines, greater than three times the least effective stack height of any stack included in the mathematical combination; and</w:t>
      </w:r>
    </w:p>
    <w:p w14:paraId="06F117B2" w14:textId="77777777" w:rsidR="00554176" w:rsidRDefault="00554176" w:rsidP="00554176">
      <w:pPr>
        <w:widowControl/>
        <w:autoSpaceDE/>
        <w:autoSpaceDN/>
        <w:adjustRightInd/>
        <w:ind w:left="1440" w:hanging="720"/>
      </w:pPr>
    </w:p>
    <w:p w14:paraId="6A26BD4F" w14:textId="77777777" w:rsidR="00554176" w:rsidRDefault="00554176" w:rsidP="00554176">
      <w:pPr>
        <w:widowControl/>
        <w:autoSpaceDE/>
        <w:autoSpaceDN/>
        <w:adjustRightInd/>
        <w:ind w:left="1440" w:hanging="720"/>
      </w:pPr>
      <w:r>
        <w:t>4.</w:t>
      </w:r>
      <w:r>
        <w:tab/>
      </w:r>
      <w:r w:rsidR="007C2C84" w:rsidRPr="007C2C84">
        <w:t>No stack in the mathematical combination is separated from any other stack by a distance greater than the allowable separation as determined from Figure 1 of this section.</w:t>
      </w:r>
    </w:p>
    <w:p w14:paraId="6B3981FF" w14:textId="77777777" w:rsidR="00554176" w:rsidRDefault="00554176" w:rsidP="00554176">
      <w:pPr>
        <w:widowControl/>
        <w:autoSpaceDE/>
        <w:autoSpaceDN/>
        <w:adjustRightInd/>
        <w:ind w:left="1440" w:hanging="720"/>
      </w:pPr>
    </w:p>
    <w:p w14:paraId="183D0EF9" w14:textId="77777777" w:rsidR="00554176" w:rsidRDefault="007C2C84" w:rsidP="00554176">
      <w:pPr>
        <w:widowControl/>
        <w:autoSpaceDE/>
        <w:autoSpaceDN/>
        <w:adjustRightInd/>
        <w:ind w:left="720" w:hanging="720"/>
      </w:pPr>
      <w:r w:rsidRPr="007C2C84">
        <w:t>(b) Procedure for using Figure 1.</w:t>
      </w:r>
    </w:p>
    <w:p w14:paraId="79741955" w14:textId="77777777" w:rsidR="00554176" w:rsidRDefault="00554176" w:rsidP="00554176">
      <w:pPr>
        <w:widowControl/>
        <w:autoSpaceDE/>
        <w:autoSpaceDN/>
        <w:adjustRightInd/>
        <w:ind w:left="720" w:hanging="720"/>
      </w:pPr>
    </w:p>
    <w:p w14:paraId="75FCB887" w14:textId="77777777" w:rsidR="00554176" w:rsidRDefault="007C2C84" w:rsidP="00554176">
      <w:pPr>
        <w:widowControl/>
        <w:autoSpaceDE/>
        <w:autoSpaceDN/>
        <w:adjustRightInd/>
        <w:ind w:left="1440" w:hanging="720"/>
      </w:pPr>
      <w:r w:rsidRPr="007C2C84">
        <w:t>1.</w:t>
      </w:r>
      <w:r w:rsidR="00554176">
        <w:tab/>
      </w:r>
      <w:r w:rsidRPr="007C2C84">
        <w:t>Determine the effective stack heights in accordance with the provisions of (c) below.</w:t>
      </w:r>
    </w:p>
    <w:p w14:paraId="7B400D8C" w14:textId="77777777" w:rsidR="00554176" w:rsidRDefault="00554176" w:rsidP="00554176">
      <w:pPr>
        <w:widowControl/>
        <w:autoSpaceDE/>
        <w:autoSpaceDN/>
        <w:adjustRightInd/>
        <w:ind w:left="1440" w:hanging="720"/>
      </w:pPr>
    </w:p>
    <w:p w14:paraId="6354B376" w14:textId="77777777" w:rsidR="00554176" w:rsidRDefault="007C2C84" w:rsidP="00554176">
      <w:pPr>
        <w:widowControl/>
        <w:autoSpaceDE/>
        <w:autoSpaceDN/>
        <w:adjustRightInd/>
        <w:ind w:left="1440" w:hanging="720"/>
      </w:pPr>
      <w:r w:rsidRPr="007C2C84">
        <w:lastRenderedPageBreak/>
        <w:t>2.</w:t>
      </w:r>
      <w:r w:rsidR="00554176">
        <w:tab/>
      </w:r>
      <w:r w:rsidRPr="007C2C84">
        <w:t>Locate the least effective stack height on the left side of Figure 1 of this section.</w:t>
      </w:r>
    </w:p>
    <w:p w14:paraId="43759C98" w14:textId="77777777" w:rsidR="00554176" w:rsidRDefault="00554176" w:rsidP="00554176">
      <w:pPr>
        <w:widowControl/>
        <w:autoSpaceDE/>
        <w:autoSpaceDN/>
        <w:adjustRightInd/>
        <w:ind w:left="1440" w:hanging="720"/>
      </w:pPr>
    </w:p>
    <w:p w14:paraId="12054E2F" w14:textId="77777777" w:rsidR="00554176" w:rsidRDefault="007C2C84" w:rsidP="00554176">
      <w:pPr>
        <w:widowControl/>
        <w:autoSpaceDE/>
        <w:autoSpaceDN/>
        <w:adjustRightInd/>
        <w:ind w:left="1440" w:hanging="720"/>
      </w:pPr>
      <w:r w:rsidRPr="007C2C84">
        <w:t>3.</w:t>
      </w:r>
      <w:r w:rsidR="00554176">
        <w:tab/>
      </w:r>
      <w:r w:rsidRPr="007C2C84">
        <w:t>Find the intersection of the least effective stack height and maximum total SO</w:t>
      </w:r>
      <w:r w:rsidRPr="00155749">
        <w:rPr>
          <w:vertAlign w:val="subscript"/>
        </w:rPr>
        <w:t>2</w:t>
      </w:r>
      <w:r w:rsidRPr="007C2C84">
        <w:t xml:space="preserve"> emission rate. Interpolation is permitted.</w:t>
      </w:r>
    </w:p>
    <w:p w14:paraId="7095282E" w14:textId="77777777" w:rsidR="00554176" w:rsidRDefault="00554176" w:rsidP="00554176">
      <w:pPr>
        <w:widowControl/>
        <w:autoSpaceDE/>
        <w:autoSpaceDN/>
        <w:adjustRightInd/>
        <w:ind w:left="1440" w:hanging="720"/>
      </w:pPr>
    </w:p>
    <w:p w14:paraId="25335503" w14:textId="77777777" w:rsidR="00554176" w:rsidRDefault="007C2C84" w:rsidP="00554176">
      <w:pPr>
        <w:widowControl/>
        <w:autoSpaceDE/>
        <w:autoSpaceDN/>
        <w:adjustRightInd/>
        <w:ind w:left="1440" w:hanging="720"/>
      </w:pPr>
      <w:r w:rsidRPr="007C2C84">
        <w:t>4.</w:t>
      </w:r>
      <w:r w:rsidR="00554176">
        <w:tab/>
      </w:r>
      <w:r w:rsidRPr="007C2C84">
        <w:t>Draw a vertical line from this point to the bottom of the chart to find the maximum allowable separation of the stacks.</w:t>
      </w:r>
    </w:p>
    <w:p w14:paraId="3D5127EF" w14:textId="77777777" w:rsidR="00554176" w:rsidRDefault="00554176" w:rsidP="00554176">
      <w:pPr>
        <w:widowControl/>
        <w:autoSpaceDE/>
        <w:autoSpaceDN/>
        <w:adjustRightInd/>
        <w:ind w:left="1440" w:hanging="720"/>
      </w:pPr>
    </w:p>
    <w:p w14:paraId="6D75DF7A" w14:textId="77777777" w:rsidR="00A72EBB" w:rsidRDefault="00A72EBB" w:rsidP="009364F6">
      <w:pPr>
        <w:widowControl/>
        <w:autoSpaceDE/>
        <w:autoSpaceDN/>
        <w:adjustRightInd/>
        <w:ind w:left="1440" w:hanging="720"/>
        <w:jc w:val="center"/>
      </w:pPr>
      <w:bookmarkStart w:id="4" w:name="_GoBack"/>
      <w:r>
        <w:t>FIGURE 1</w:t>
      </w:r>
    </w:p>
    <w:bookmarkEnd w:id="4"/>
    <w:p w14:paraId="5E0B3B7D" w14:textId="77777777" w:rsidR="00016782" w:rsidRDefault="009364F6" w:rsidP="00016782">
      <w:pPr>
        <w:widowControl/>
        <w:autoSpaceDE/>
        <w:autoSpaceDN/>
        <w:adjustRightInd/>
      </w:pPr>
      <w:r>
        <w:rPr>
          <w:noProof/>
        </w:rPr>
        <w:pict w14:anchorId="4B071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5pt;height:342pt;visibility:visible;mso-wrap-style:square">
            <v:imagedata r:id="rId7" o:title=""/>
          </v:shape>
        </w:pict>
      </w:r>
    </w:p>
    <w:p w14:paraId="6FF60119" w14:textId="77777777" w:rsidR="00016782" w:rsidRDefault="00016782" w:rsidP="00554176">
      <w:pPr>
        <w:widowControl/>
        <w:autoSpaceDE/>
        <w:autoSpaceDN/>
        <w:adjustRightInd/>
        <w:ind w:left="1440" w:hanging="720"/>
      </w:pPr>
    </w:p>
    <w:p w14:paraId="4B95225A" w14:textId="77777777" w:rsidR="00554176" w:rsidRDefault="00554176" w:rsidP="00554176">
      <w:pPr>
        <w:widowControl/>
        <w:autoSpaceDE/>
        <w:autoSpaceDN/>
        <w:adjustRightInd/>
        <w:ind w:left="720" w:hanging="720"/>
      </w:pPr>
      <w:r>
        <w:t>(c)</w:t>
      </w:r>
      <w:r>
        <w:tab/>
      </w:r>
      <w:r w:rsidR="007C2C84" w:rsidRPr="007C2C84">
        <w:t>The effective stack height of a given stack for the purposes of t</w:t>
      </w:r>
      <w:r w:rsidR="00AA6F51">
        <w:t xml:space="preserve">his subchapter is the lesser of </w:t>
      </w:r>
      <w:r w:rsidR="007C2C84" w:rsidRPr="007C2C84">
        <w:t>the following values:</w:t>
      </w:r>
    </w:p>
    <w:p w14:paraId="3353C3B8" w14:textId="77777777" w:rsidR="00554176" w:rsidRDefault="00554176" w:rsidP="00554176">
      <w:pPr>
        <w:widowControl/>
        <w:autoSpaceDE/>
        <w:autoSpaceDN/>
        <w:adjustRightInd/>
        <w:ind w:left="720" w:hanging="720"/>
      </w:pPr>
    </w:p>
    <w:p w14:paraId="2F882856" w14:textId="77777777" w:rsidR="00554176" w:rsidRDefault="00554176" w:rsidP="00554176">
      <w:pPr>
        <w:pStyle w:val="NoSpacing"/>
        <w:ind w:left="1440" w:hanging="720"/>
      </w:pPr>
      <w:r>
        <w:t>1.</w:t>
      </w:r>
      <w:r>
        <w:tab/>
      </w:r>
      <w:r w:rsidR="007C2C84" w:rsidRPr="007C2C84">
        <w:t>650 feet; or</w:t>
      </w:r>
    </w:p>
    <w:p w14:paraId="15803174" w14:textId="77777777" w:rsidR="00554176" w:rsidRDefault="00554176" w:rsidP="00554176">
      <w:pPr>
        <w:pStyle w:val="NoSpacing"/>
        <w:ind w:left="1440" w:hanging="720"/>
      </w:pPr>
    </w:p>
    <w:p w14:paraId="71F5EA2E" w14:textId="77777777" w:rsidR="00554176" w:rsidRDefault="007C2C84" w:rsidP="00554176">
      <w:pPr>
        <w:pStyle w:val="NoSpacing"/>
        <w:ind w:left="1440" w:hanging="720"/>
      </w:pPr>
      <w:r w:rsidRPr="007C2C84">
        <w:t>2.</w:t>
      </w:r>
      <w:r w:rsidR="00554176">
        <w:tab/>
      </w:r>
      <w:r w:rsidRPr="007C2C84">
        <w:t>The sum of the physical stack height and the plume rise. Plume rise is calculated from the formula:</w:t>
      </w:r>
    </w:p>
    <w:p w14:paraId="0225EC03" w14:textId="77777777" w:rsidR="00554176" w:rsidRDefault="00554176" w:rsidP="00554176">
      <w:pPr>
        <w:pStyle w:val="NoSpacing"/>
        <w:ind w:left="1440" w:hanging="720"/>
      </w:pPr>
    </w:p>
    <w:p w14:paraId="03DBE7F7" w14:textId="77777777" w:rsidR="00554176" w:rsidRDefault="007C2C84" w:rsidP="00554176">
      <w:pPr>
        <w:pStyle w:val="NoSpacing"/>
        <w:ind w:left="1440" w:hanging="720"/>
        <w:jc w:val="center"/>
      </w:pPr>
      <w:r w:rsidRPr="007C2C84">
        <w:rPr>
          <w:position w:val="-30"/>
        </w:rPr>
        <w:object w:dxaOrig="2500" w:dyaOrig="780" w14:anchorId="68FF3F20">
          <v:shape id="_x0000_i1026" type="#_x0000_t75" style="width:125.5pt;height:39pt" o:ole="">
            <v:imagedata r:id="rId8" o:title=""/>
          </v:shape>
          <o:OLEObject Type="Embed" ProgID="Equation.3" ShapeID="_x0000_i1026" DrawAspect="Content" ObjectID="_1576394179" r:id="rId9"/>
        </w:object>
      </w:r>
      <w:r w:rsidRPr="007C2C84">
        <w:t>   </w:t>
      </w:r>
      <w:r w:rsidRPr="007C2C84">
        <w:br/>
      </w:r>
    </w:p>
    <w:p w14:paraId="265E9D0A" w14:textId="77777777" w:rsidR="00A6166B" w:rsidRDefault="00A6166B" w:rsidP="00554176">
      <w:pPr>
        <w:pStyle w:val="NoSpacing"/>
        <w:ind w:left="1440"/>
      </w:pPr>
    </w:p>
    <w:p w14:paraId="16BB5CD8" w14:textId="77777777" w:rsidR="00A6166B" w:rsidRDefault="00FD28E3" w:rsidP="00FD28E3">
      <w:pPr>
        <w:pStyle w:val="NoSpacing"/>
        <w:ind w:left="720"/>
      </w:pPr>
      <w:r>
        <w:t>W</w:t>
      </w:r>
      <w:r w:rsidR="007C2C84" w:rsidRPr="007C2C84">
        <w:t>here:</w:t>
      </w:r>
    </w:p>
    <w:p w14:paraId="2CE59B5B" w14:textId="77777777" w:rsidR="00A6166B" w:rsidRDefault="007C2C84" w:rsidP="00FD28E3">
      <w:pPr>
        <w:pStyle w:val="NoSpacing"/>
        <w:ind w:left="1440" w:hanging="360"/>
      </w:pPr>
      <w:r w:rsidRPr="007C2C84">
        <w:t>h is the plume rise in feet;</w:t>
      </w:r>
    </w:p>
    <w:p w14:paraId="7F85BBD2" w14:textId="77777777" w:rsidR="00A6166B" w:rsidRDefault="007C2C84" w:rsidP="00FD28E3">
      <w:pPr>
        <w:pStyle w:val="NoSpacing"/>
        <w:ind w:left="1440" w:hanging="360"/>
      </w:pPr>
      <w:r w:rsidRPr="007C2C84">
        <w:t>u is 12 if the physical stack height is less than 65 feet; u is 5 for physical stack heights of 65 feet or greater;</w:t>
      </w:r>
    </w:p>
    <w:p w14:paraId="488373F7" w14:textId="77777777" w:rsidR="00A6166B" w:rsidRDefault="007C2C84" w:rsidP="00FD28E3">
      <w:pPr>
        <w:pStyle w:val="NoSpacing"/>
        <w:ind w:left="1440" w:hanging="360"/>
      </w:pPr>
      <w:r w:rsidRPr="007C2C84">
        <w:t>V is the actual exit velocity of the stack gas in feet per second;</w:t>
      </w:r>
      <w:r w:rsidRPr="007C2C84">
        <w:br/>
        <w:t>d is the inside diameter of the stack exit in feet; and</w:t>
      </w:r>
    </w:p>
    <w:p w14:paraId="7604B8F2" w14:textId="77777777" w:rsidR="007C2C84" w:rsidRPr="007C2C84" w:rsidRDefault="007C2C84" w:rsidP="00FD28E3">
      <w:pPr>
        <w:pStyle w:val="NoSpacing"/>
        <w:ind w:left="1440" w:hanging="360"/>
      </w:pPr>
      <w:r w:rsidRPr="007C2C84">
        <w:t>T is the temperature of the stack gas at the stack exit, in degrees Fahrenheit.</w:t>
      </w:r>
    </w:p>
    <w:p w14:paraId="2E382389" w14:textId="77777777" w:rsidR="007C2C84" w:rsidRPr="007C2C84" w:rsidRDefault="007C2C84" w:rsidP="00155749">
      <w:pPr>
        <w:widowControl/>
        <w:jc w:val="both"/>
      </w:pPr>
    </w:p>
    <w:p w14:paraId="3AB80FEB" w14:textId="77777777" w:rsidR="003D61E3" w:rsidRDefault="007C2C84" w:rsidP="00155749">
      <w:pPr>
        <w:widowControl/>
        <w:jc w:val="both"/>
        <w:rPr>
          <w:b/>
        </w:rPr>
      </w:pPr>
      <w:r w:rsidRPr="00257343">
        <w:rPr>
          <w:b/>
        </w:rPr>
        <w:t>7:27-9.5</w:t>
      </w:r>
      <w:r w:rsidR="00554176">
        <w:rPr>
          <w:b/>
        </w:rPr>
        <w:tab/>
      </w:r>
      <w:r w:rsidRPr="00257343">
        <w:rPr>
          <w:b/>
        </w:rPr>
        <w:t>(Reserved)</w:t>
      </w:r>
    </w:p>
    <w:p w14:paraId="42477958" w14:textId="77777777" w:rsidR="00554176" w:rsidRPr="00257343" w:rsidRDefault="00554176" w:rsidP="00155749">
      <w:pPr>
        <w:widowControl/>
        <w:jc w:val="both"/>
        <w:rPr>
          <w:b/>
        </w:rPr>
      </w:pPr>
    </w:p>
    <w:sectPr w:rsidR="00554176" w:rsidRPr="00257343" w:rsidSect="00A3351D">
      <w:headerReference w:type="default" r:id="rId10"/>
      <w:footerReference w:type="default" r:id="rId11"/>
      <w:type w:val="continuous"/>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5B4E" w14:textId="77777777" w:rsidR="003E0E60" w:rsidRDefault="003E0E60">
      <w:r>
        <w:separator/>
      </w:r>
    </w:p>
  </w:endnote>
  <w:endnote w:type="continuationSeparator" w:id="0">
    <w:p w14:paraId="501B94ED" w14:textId="77777777" w:rsidR="003E0E60" w:rsidRDefault="003E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1C5D" w14:textId="301C9525" w:rsidR="00032E53" w:rsidRDefault="00032E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4F6">
      <w:rPr>
        <w:rStyle w:val="PageNumber"/>
        <w:noProof/>
      </w:rPr>
      <w:t>8</w:t>
    </w:r>
    <w:r>
      <w:rPr>
        <w:rStyle w:val="PageNumber"/>
      </w:rPr>
      <w:fldChar w:fldCharType="end"/>
    </w:r>
  </w:p>
  <w:p w14:paraId="3329F7E0" w14:textId="77777777" w:rsidR="00032E53" w:rsidRDefault="00032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11C54" w14:textId="77777777" w:rsidR="003E0E60" w:rsidRDefault="003E0E60">
      <w:r>
        <w:separator/>
      </w:r>
    </w:p>
  </w:footnote>
  <w:footnote w:type="continuationSeparator" w:id="0">
    <w:p w14:paraId="1BCE6F81" w14:textId="77777777" w:rsidR="003E0E60" w:rsidRDefault="003E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B48F3" w14:textId="77777777" w:rsidR="00032E53" w:rsidRPr="00155749" w:rsidRDefault="00032E53" w:rsidP="002D084C">
    <w:pPr>
      <w:tabs>
        <w:tab w:val="center" w:pos="4320"/>
        <w:tab w:val="right" w:pos="8640"/>
      </w:tabs>
      <w:autoSpaceDE/>
      <w:autoSpaceDN/>
      <w:adjustRightInd/>
      <w:jc w:val="center"/>
      <w:rPr>
        <w:i/>
        <w:snapToGrid w:val="0"/>
        <w:sz w:val="18"/>
        <w:szCs w:val="18"/>
      </w:rPr>
    </w:pPr>
    <w:r w:rsidRPr="00155749">
      <w:rPr>
        <w:i/>
        <w:snapToGrid w:val="0"/>
        <w:sz w:val="18"/>
        <w:szCs w:val="18"/>
      </w:rPr>
      <w:t>This is a courtesy copy of this rule.  All of the Department’s rules</w:t>
    </w:r>
    <w:r>
      <w:rPr>
        <w:i/>
        <w:snapToGrid w:val="0"/>
        <w:sz w:val="18"/>
        <w:szCs w:val="18"/>
      </w:rPr>
      <w:t xml:space="preserve"> </w:t>
    </w:r>
    <w:r w:rsidRPr="00155749">
      <w:rPr>
        <w:i/>
        <w:snapToGrid w:val="0"/>
        <w:sz w:val="18"/>
        <w:szCs w:val="18"/>
      </w:rPr>
      <w:t>are compiled in Title 7 of the New Jersey Administrative Code.</w:t>
    </w:r>
  </w:p>
  <w:p w14:paraId="107A4887" w14:textId="77777777" w:rsidR="00032E53" w:rsidRDefault="00032E53">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B04"/>
    <w:multiLevelType w:val="singleLevel"/>
    <w:tmpl w:val="74823F08"/>
    <w:lvl w:ilvl="0">
      <w:start w:val="14"/>
      <w:numFmt w:val="decimal"/>
      <w:lvlText w:val="%1."/>
      <w:lvlJc w:val="left"/>
      <w:pPr>
        <w:tabs>
          <w:tab w:val="num" w:pos="540"/>
        </w:tabs>
        <w:ind w:left="540" w:hanging="540"/>
      </w:pPr>
      <w:rPr>
        <w:rFonts w:cs="Times New Roman" w:hint="default"/>
      </w:rPr>
    </w:lvl>
  </w:abstractNum>
  <w:abstractNum w:abstractNumId="1" w15:restartNumberingAfterBreak="0">
    <w:nsid w:val="1BC045A1"/>
    <w:multiLevelType w:val="multilevel"/>
    <w:tmpl w:val="DF9AC3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C1746"/>
    <w:multiLevelType w:val="hybridMultilevel"/>
    <w:tmpl w:val="7F9051C4"/>
    <w:lvl w:ilvl="0" w:tplc="6F1A9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F52C6"/>
    <w:multiLevelType w:val="hybridMultilevel"/>
    <w:tmpl w:val="4E40638A"/>
    <w:lvl w:ilvl="0" w:tplc="A984A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A424D"/>
    <w:multiLevelType w:val="singleLevel"/>
    <w:tmpl w:val="04090019"/>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2A00F4B"/>
    <w:multiLevelType w:val="singleLevel"/>
    <w:tmpl w:val="78E0AFCC"/>
    <w:lvl w:ilvl="0">
      <w:start w:val="1"/>
      <w:numFmt w:val="decimal"/>
      <w:lvlText w:val="[%1."/>
      <w:lvlJc w:val="left"/>
      <w:pPr>
        <w:tabs>
          <w:tab w:val="num" w:pos="360"/>
        </w:tabs>
        <w:ind w:left="360" w:hanging="360"/>
      </w:pPr>
      <w:rPr>
        <w:rFonts w:cs="Times New Roman"/>
      </w:rPr>
    </w:lvl>
  </w:abstractNum>
  <w:abstractNum w:abstractNumId="6" w15:restartNumberingAfterBreak="0">
    <w:nsid w:val="2D0546AB"/>
    <w:multiLevelType w:val="hybridMultilevel"/>
    <w:tmpl w:val="4C28FD2E"/>
    <w:lvl w:ilvl="0" w:tplc="6B6A273C">
      <w:start w:val="2"/>
      <w:numFmt w:val="decimal"/>
      <w:lvlText w:val="%1."/>
      <w:lvlJc w:val="left"/>
      <w:pPr>
        <w:tabs>
          <w:tab w:val="num" w:pos="864"/>
        </w:tabs>
        <w:ind w:left="864" w:hanging="360"/>
      </w:pPr>
      <w:rPr>
        <w:rFonts w:hint="default"/>
      </w:rPr>
    </w:lvl>
    <w:lvl w:ilvl="1" w:tplc="77DCC998" w:tentative="1">
      <w:start w:val="1"/>
      <w:numFmt w:val="lowerLetter"/>
      <w:lvlText w:val="%2."/>
      <w:lvlJc w:val="left"/>
      <w:pPr>
        <w:tabs>
          <w:tab w:val="num" w:pos="1584"/>
        </w:tabs>
        <w:ind w:left="1584" w:hanging="360"/>
      </w:pPr>
    </w:lvl>
    <w:lvl w:ilvl="2" w:tplc="463E22EE" w:tentative="1">
      <w:start w:val="1"/>
      <w:numFmt w:val="lowerRoman"/>
      <w:lvlText w:val="%3."/>
      <w:lvlJc w:val="right"/>
      <w:pPr>
        <w:tabs>
          <w:tab w:val="num" w:pos="2304"/>
        </w:tabs>
        <w:ind w:left="2304" w:hanging="180"/>
      </w:pPr>
    </w:lvl>
    <w:lvl w:ilvl="3" w:tplc="57F004C4" w:tentative="1">
      <w:start w:val="1"/>
      <w:numFmt w:val="decimal"/>
      <w:lvlText w:val="%4."/>
      <w:lvlJc w:val="left"/>
      <w:pPr>
        <w:tabs>
          <w:tab w:val="num" w:pos="3024"/>
        </w:tabs>
        <w:ind w:left="3024" w:hanging="360"/>
      </w:pPr>
    </w:lvl>
    <w:lvl w:ilvl="4" w:tplc="56C8BE78" w:tentative="1">
      <w:start w:val="1"/>
      <w:numFmt w:val="lowerLetter"/>
      <w:lvlText w:val="%5."/>
      <w:lvlJc w:val="left"/>
      <w:pPr>
        <w:tabs>
          <w:tab w:val="num" w:pos="3744"/>
        </w:tabs>
        <w:ind w:left="3744" w:hanging="360"/>
      </w:pPr>
    </w:lvl>
    <w:lvl w:ilvl="5" w:tplc="9DA8C070" w:tentative="1">
      <w:start w:val="1"/>
      <w:numFmt w:val="lowerRoman"/>
      <w:lvlText w:val="%6."/>
      <w:lvlJc w:val="right"/>
      <w:pPr>
        <w:tabs>
          <w:tab w:val="num" w:pos="4464"/>
        </w:tabs>
        <w:ind w:left="4464" w:hanging="180"/>
      </w:pPr>
    </w:lvl>
    <w:lvl w:ilvl="6" w:tplc="2862A8EC" w:tentative="1">
      <w:start w:val="1"/>
      <w:numFmt w:val="decimal"/>
      <w:lvlText w:val="%7."/>
      <w:lvlJc w:val="left"/>
      <w:pPr>
        <w:tabs>
          <w:tab w:val="num" w:pos="5184"/>
        </w:tabs>
        <w:ind w:left="5184" w:hanging="360"/>
      </w:pPr>
    </w:lvl>
    <w:lvl w:ilvl="7" w:tplc="F072D4E2" w:tentative="1">
      <w:start w:val="1"/>
      <w:numFmt w:val="lowerLetter"/>
      <w:lvlText w:val="%8."/>
      <w:lvlJc w:val="left"/>
      <w:pPr>
        <w:tabs>
          <w:tab w:val="num" w:pos="5904"/>
        </w:tabs>
        <w:ind w:left="5904" w:hanging="360"/>
      </w:pPr>
    </w:lvl>
    <w:lvl w:ilvl="8" w:tplc="741E3012" w:tentative="1">
      <w:start w:val="1"/>
      <w:numFmt w:val="lowerRoman"/>
      <w:lvlText w:val="%9."/>
      <w:lvlJc w:val="right"/>
      <w:pPr>
        <w:tabs>
          <w:tab w:val="num" w:pos="6624"/>
        </w:tabs>
        <w:ind w:left="6624" w:hanging="180"/>
      </w:pPr>
    </w:lvl>
  </w:abstractNum>
  <w:abstractNum w:abstractNumId="7" w15:restartNumberingAfterBreak="0">
    <w:nsid w:val="3C8A4C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3E02A88"/>
    <w:multiLevelType w:val="hybridMultilevel"/>
    <w:tmpl w:val="5A8C35F2"/>
    <w:lvl w:ilvl="0" w:tplc="500E9850">
      <w:start w:val="4"/>
      <w:numFmt w:val="decimal"/>
      <w:lvlText w:val="%1."/>
      <w:lvlJc w:val="left"/>
      <w:pPr>
        <w:tabs>
          <w:tab w:val="num" w:pos="864"/>
        </w:tabs>
        <w:ind w:left="864" w:hanging="360"/>
      </w:pPr>
      <w:rPr>
        <w:rFonts w:hint="default"/>
      </w:rPr>
    </w:lvl>
    <w:lvl w:ilvl="1" w:tplc="AE4C42C6" w:tentative="1">
      <w:start w:val="1"/>
      <w:numFmt w:val="lowerLetter"/>
      <w:lvlText w:val="%2."/>
      <w:lvlJc w:val="left"/>
      <w:pPr>
        <w:tabs>
          <w:tab w:val="num" w:pos="1584"/>
        </w:tabs>
        <w:ind w:left="1584" w:hanging="360"/>
      </w:pPr>
    </w:lvl>
    <w:lvl w:ilvl="2" w:tplc="05F87148" w:tentative="1">
      <w:start w:val="1"/>
      <w:numFmt w:val="lowerRoman"/>
      <w:lvlText w:val="%3."/>
      <w:lvlJc w:val="right"/>
      <w:pPr>
        <w:tabs>
          <w:tab w:val="num" w:pos="2304"/>
        </w:tabs>
        <w:ind w:left="2304" w:hanging="180"/>
      </w:pPr>
    </w:lvl>
    <w:lvl w:ilvl="3" w:tplc="48F89F98" w:tentative="1">
      <w:start w:val="1"/>
      <w:numFmt w:val="decimal"/>
      <w:lvlText w:val="%4."/>
      <w:lvlJc w:val="left"/>
      <w:pPr>
        <w:tabs>
          <w:tab w:val="num" w:pos="3024"/>
        </w:tabs>
        <w:ind w:left="3024" w:hanging="360"/>
      </w:pPr>
    </w:lvl>
    <w:lvl w:ilvl="4" w:tplc="04EADEB0" w:tentative="1">
      <w:start w:val="1"/>
      <w:numFmt w:val="lowerLetter"/>
      <w:lvlText w:val="%5."/>
      <w:lvlJc w:val="left"/>
      <w:pPr>
        <w:tabs>
          <w:tab w:val="num" w:pos="3744"/>
        </w:tabs>
        <w:ind w:left="3744" w:hanging="360"/>
      </w:pPr>
    </w:lvl>
    <w:lvl w:ilvl="5" w:tplc="84CE6C26" w:tentative="1">
      <w:start w:val="1"/>
      <w:numFmt w:val="lowerRoman"/>
      <w:lvlText w:val="%6."/>
      <w:lvlJc w:val="right"/>
      <w:pPr>
        <w:tabs>
          <w:tab w:val="num" w:pos="4464"/>
        </w:tabs>
        <w:ind w:left="4464" w:hanging="180"/>
      </w:pPr>
    </w:lvl>
    <w:lvl w:ilvl="6" w:tplc="57C0D2D8" w:tentative="1">
      <w:start w:val="1"/>
      <w:numFmt w:val="decimal"/>
      <w:lvlText w:val="%7."/>
      <w:lvlJc w:val="left"/>
      <w:pPr>
        <w:tabs>
          <w:tab w:val="num" w:pos="5184"/>
        </w:tabs>
        <w:ind w:left="5184" w:hanging="360"/>
      </w:pPr>
    </w:lvl>
    <w:lvl w:ilvl="7" w:tplc="262CC8E4" w:tentative="1">
      <w:start w:val="1"/>
      <w:numFmt w:val="lowerLetter"/>
      <w:lvlText w:val="%8."/>
      <w:lvlJc w:val="left"/>
      <w:pPr>
        <w:tabs>
          <w:tab w:val="num" w:pos="5904"/>
        </w:tabs>
        <w:ind w:left="5904" w:hanging="360"/>
      </w:pPr>
    </w:lvl>
    <w:lvl w:ilvl="8" w:tplc="54547D62" w:tentative="1">
      <w:start w:val="1"/>
      <w:numFmt w:val="lowerRoman"/>
      <w:lvlText w:val="%9."/>
      <w:lvlJc w:val="right"/>
      <w:pPr>
        <w:tabs>
          <w:tab w:val="num" w:pos="6624"/>
        </w:tabs>
        <w:ind w:left="6624" w:hanging="180"/>
      </w:pPr>
    </w:lvl>
  </w:abstractNum>
  <w:abstractNum w:abstractNumId="9" w15:restartNumberingAfterBreak="0">
    <w:nsid w:val="491D2CF2"/>
    <w:multiLevelType w:val="singleLevel"/>
    <w:tmpl w:val="35EE7B7A"/>
    <w:lvl w:ilvl="0">
      <w:start w:val="7"/>
      <w:numFmt w:val="decimal"/>
      <w:lvlText w:val="[%1."/>
      <w:lvlJc w:val="left"/>
      <w:pPr>
        <w:tabs>
          <w:tab w:val="num" w:pos="360"/>
        </w:tabs>
        <w:ind w:left="360" w:hanging="360"/>
      </w:pPr>
      <w:rPr>
        <w:rFonts w:cs="Times New Roman"/>
      </w:rPr>
    </w:lvl>
  </w:abstractNum>
  <w:abstractNum w:abstractNumId="10" w15:restartNumberingAfterBreak="0">
    <w:nsid w:val="4A4A3D85"/>
    <w:multiLevelType w:val="singleLevel"/>
    <w:tmpl w:val="9F1A3C08"/>
    <w:lvl w:ilvl="0">
      <w:start w:val="7"/>
      <w:numFmt w:val="decimal"/>
      <w:lvlText w:val="%1."/>
      <w:lvlJc w:val="left"/>
      <w:pPr>
        <w:tabs>
          <w:tab w:val="num" w:pos="360"/>
        </w:tabs>
        <w:ind w:left="360" w:hanging="360"/>
      </w:pPr>
      <w:rPr>
        <w:rFonts w:cs="Times New Roman"/>
        <w:b/>
        <w:i w:val="0"/>
        <w:u w:val="single"/>
      </w:rPr>
    </w:lvl>
  </w:abstractNum>
  <w:abstractNum w:abstractNumId="11" w15:restartNumberingAfterBreak="0">
    <w:nsid w:val="4DFE5AF3"/>
    <w:multiLevelType w:val="multilevel"/>
    <w:tmpl w:val="B29CACE4"/>
    <w:lvl w:ilvl="0">
      <w:start w:val="3"/>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50FF7A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000A36"/>
    <w:multiLevelType w:val="singleLevel"/>
    <w:tmpl w:val="F998E680"/>
    <w:lvl w:ilvl="0">
      <w:start w:val="1"/>
      <w:numFmt w:val="decimal"/>
      <w:lvlText w:val="%1."/>
      <w:lvlJc w:val="left"/>
      <w:pPr>
        <w:tabs>
          <w:tab w:val="num" w:pos="360"/>
        </w:tabs>
        <w:ind w:left="360" w:hanging="360"/>
      </w:pPr>
      <w:rPr>
        <w:rFonts w:cs="Times New Roman"/>
        <w:u w:val="single"/>
      </w:rPr>
    </w:lvl>
  </w:abstractNum>
  <w:abstractNum w:abstractNumId="14" w15:restartNumberingAfterBreak="0">
    <w:nsid w:val="586D20DE"/>
    <w:multiLevelType w:val="hybridMultilevel"/>
    <w:tmpl w:val="FF0637E4"/>
    <w:lvl w:ilvl="0" w:tplc="B866D5D2">
      <w:start w:val="8"/>
      <w:numFmt w:val="decimal"/>
      <w:lvlText w:val="%1."/>
      <w:lvlJc w:val="left"/>
      <w:pPr>
        <w:tabs>
          <w:tab w:val="num" w:pos="864"/>
        </w:tabs>
        <w:ind w:left="864" w:hanging="360"/>
      </w:pPr>
      <w:rPr>
        <w:rFonts w:hint="default"/>
      </w:rPr>
    </w:lvl>
    <w:lvl w:ilvl="1" w:tplc="68A867F0" w:tentative="1">
      <w:start w:val="1"/>
      <w:numFmt w:val="lowerLetter"/>
      <w:lvlText w:val="%2."/>
      <w:lvlJc w:val="left"/>
      <w:pPr>
        <w:tabs>
          <w:tab w:val="num" w:pos="1584"/>
        </w:tabs>
        <w:ind w:left="1584" w:hanging="360"/>
      </w:pPr>
    </w:lvl>
    <w:lvl w:ilvl="2" w:tplc="0380910A" w:tentative="1">
      <w:start w:val="1"/>
      <w:numFmt w:val="lowerRoman"/>
      <w:lvlText w:val="%3."/>
      <w:lvlJc w:val="right"/>
      <w:pPr>
        <w:tabs>
          <w:tab w:val="num" w:pos="2304"/>
        </w:tabs>
        <w:ind w:left="2304" w:hanging="180"/>
      </w:pPr>
    </w:lvl>
    <w:lvl w:ilvl="3" w:tplc="CFCEA9FC" w:tentative="1">
      <w:start w:val="1"/>
      <w:numFmt w:val="decimal"/>
      <w:lvlText w:val="%4."/>
      <w:lvlJc w:val="left"/>
      <w:pPr>
        <w:tabs>
          <w:tab w:val="num" w:pos="3024"/>
        </w:tabs>
        <w:ind w:left="3024" w:hanging="360"/>
      </w:pPr>
    </w:lvl>
    <w:lvl w:ilvl="4" w:tplc="984C0766" w:tentative="1">
      <w:start w:val="1"/>
      <w:numFmt w:val="lowerLetter"/>
      <w:lvlText w:val="%5."/>
      <w:lvlJc w:val="left"/>
      <w:pPr>
        <w:tabs>
          <w:tab w:val="num" w:pos="3744"/>
        </w:tabs>
        <w:ind w:left="3744" w:hanging="360"/>
      </w:pPr>
    </w:lvl>
    <w:lvl w:ilvl="5" w:tplc="0CE400F0" w:tentative="1">
      <w:start w:val="1"/>
      <w:numFmt w:val="lowerRoman"/>
      <w:lvlText w:val="%6."/>
      <w:lvlJc w:val="right"/>
      <w:pPr>
        <w:tabs>
          <w:tab w:val="num" w:pos="4464"/>
        </w:tabs>
        <w:ind w:left="4464" w:hanging="180"/>
      </w:pPr>
    </w:lvl>
    <w:lvl w:ilvl="6" w:tplc="5276044E" w:tentative="1">
      <w:start w:val="1"/>
      <w:numFmt w:val="decimal"/>
      <w:lvlText w:val="%7."/>
      <w:lvlJc w:val="left"/>
      <w:pPr>
        <w:tabs>
          <w:tab w:val="num" w:pos="5184"/>
        </w:tabs>
        <w:ind w:left="5184" w:hanging="360"/>
      </w:pPr>
    </w:lvl>
    <w:lvl w:ilvl="7" w:tplc="8CDEBE6C" w:tentative="1">
      <w:start w:val="1"/>
      <w:numFmt w:val="lowerLetter"/>
      <w:lvlText w:val="%8."/>
      <w:lvlJc w:val="left"/>
      <w:pPr>
        <w:tabs>
          <w:tab w:val="num" w:pos="5904"/>
        </w:tabs>
        <w:ind w:left="5904" w:hanging="360"/>
      </w:pPr>
    </w:lvl>
    <w:lvl w:ilvl="8" w:tplc="CE8EAFC2" w:tentative="1">
      <w:start w:val="1"/>
      <w:numFmt w:val="lowerRoman"/>
      <w:lvlText w:val="%9."/>
      <w:lvlJc w:val="right"/>
      <w:pPr>
        <w:tabs>
          <w:tab w:val="num" w:pos="6624"/>
        </w:tabs>
        <w:ind w:left="6624" w:hanging="180"/>
      </w:pPr>
    </w:lvl>
  </w:abstractNum>
  <w:abstractNum w:abstractNumId="15" w15:restartNumberingAfterBreak="0">
    <w:nsid w:val="6447554B"/>
    <w:multiLevelType w:val="hybridMultilevel"/>
    <w:tmpl w:val="4A8438F2"/>
    <w:lvl w:ilvl="0" w:tplc="D8641584">
      <w:start w:val="1"/>
      <w:numFmt w:val="decimal"/>
      <w:lvlText w:val="%1."/>
      <w:lvlJc w:val="left"/>
      <w:pPr>
        <w:tabs>
          <w:tab w:val="num" w:pos="999"/>
        </w:tabs>
        <w:ind w:left="999" w:hanging="495"/>
      </w:pPr>
      <w:rPr>
        <w:rFonts w:hint="default"/>
      </w:rPr>
    </w:lvl>
    <w:lvl w:ilvl="1" w:tplc="D5A80A7C" w:tentative="1">
      <w:start w:val="1"/>
      <w:numFmt w:val="lowerLetter"/>
      <w:lvlText w:val="%2."/>
      <w:lvlJc w:val="left"/>
      <w:pPr>
        <w:tabs>
          <w:tab w:val="num" w:pos="1584"/>
        </w:tabs>
        <w:ind w:left="1584" w:hanging="360"/>
      </w:pPr>
    </w:lvl>
    <w:lvl w:ilvl="2" w:tplc="8414938C" w:tentative="1">
      <w:start w:val="1"/>
      <w:numFmt w:val="lowerRoman"/>
      <w:lvlText w:val="%3."/>
      <w:lvlJc w:val="right"/>
      <w:pPr>
        <w:tabs>
          <w:tab w:val="num" w:pos="2304"/>
        </w:tabs>
        <w:ind w:left="2304" w:hanging="180"/>
      </w:pPr>
    </w:lvl>
    <w:lvl w:ilvl="3" w:tplc="0582BD7C" w:tentative="1">
      <w:start w:val="1"/>
      <w:numFmt w:val="decimal"/>
      <w:lvlText w:val="%4."/>
      <w:lvlJc w:val="left"/>
      <w:pPr>
        <w:tabs>
          <w:tab w:val="num" w:pos="3024"/>
        </w:tabs>
        <w:ind w:left="3024" w:hanging="360"/>
      </w:pPr>
    </w:lvl>
    <w:lvl w:ilvl="4" w:tplc="CA82515C" w:tentative="1">
      <w:start w:val="1"/>
      <w:numFmt w:val="lowerLetter"/>
      <w:lvlText w:val="%5."/>
      <w:lvlJc w:val="left"/>
      <w:pPr>
        <w:tabs>
          <w:tab w:val="num" w:pos="3744"/>
        </w:tabs>
        <w:ind w:left="3744" w:hanging="360"/>
      </w:pPr>
    </w:lvl>
    <w:lvl w:ilvl="5" w:tplc="9EC687AC" w:tentative="1">
      <w:start w:val="1"/>
      <w:numFmt w:val="lowerRoman"/>
      <w:lvlText w:val="%6."/>
      <w:lvlJc w:val="right"/>
      <w:pPr>
        <w:tabs>
          <w:tab w:val="num" w:pos="4464"/>
        </w:tabs>
        <w:ind w:left="4464" w:hanging="180"/>
      </w:pPr>
    </w:lvl>
    <w:lvl w:ilvl="6" w:tplc="50CCFF2E" w:tentative="1">
      <w:start w:val="1"/>
      <w:numFmt w:val="decimal"/>
      <w:lvlText w:val="%7."/>
      <w:lvlJc w:val="left"/>
      <w:pPr>
        <w:tabs>
          <w:tab w:val="num" w:pos="5184"/>
        </w:tabs>
        <w:ind w:left="5184" w:hanging="360"/>
      </w:pPr>
    </w:lvl>
    <w:lvl w:ilvl="7" w:tplc="356A9F3E" w:tentative="1">
      <w:start w:val="1"/>
      <w:numFmt w:val="lowerLetter"/>
      <w:lvlText w:val="%8."/>
      <w:lvlJc w:val="left"/>
      <w:pPr>
        <w:tabs>
          <w:tab w:val="num" w:pos="5904"/>
        </w:tabs>
        <w:ind w:left="5904" w:hanging="360"/>
      </w:pPr>
    </w:lvl>
    <w:lvl w:ilvl="8" w:tplc="763079A2" w:tentative="1">
      <w:start w:val="1"/>
      <w:numFmt w:val="lowerRoman"/>
      <w:lvlText w:val="%9."/>
      <w:lvlJc w:val="right"/>
      <w:pPr>
        <w:tabs>
          <w:tab w:val="num" w:pos="6624"/>
        </w:tabs>
        <w:ind w:left="6624" w:hanging="180"/>
      </w:pPr>
    </w:lvl>
  </w:abstractNum>
  <w:abstractNum w:abstractNumId="16" w15:restartNumberingAfterBreak="0">
    <w:nsid w:val="684F622D"/>
    <w:multiLevelType w:val="singleLevel"/>
    <w:tmpl w:val="772AE1BA"/>
    <w:lvl w:ilvl="0">
      <w:start w:val="1"/>
      <w:numFmt w:val="lowerRoman"/>
      <w:lvlText w:val="%1."/>
      <w:lvlJc w:val="left"/>
      <w:pPr>
        <w:tabs>
          <w:tab w:val="num" w:pos="720"/>
        </w:tabs>
      </w:pPr>
      <w:rPr>
        <w:rFonts w:cs="Times New Roman"/>
        <w:b/>
        <w:i w:val="0"/>
        <w:u w:val="single"/>
      </w:rPr>
    </w:lvl>
  </w:abstractNum>
  <w:abstractNum w:abstractNumId="17" w15:restartNumberingAfterBreak="0">
    <w:nsid w:val="6AC95EE7"/>
    <w:multiLevelType w:val="multilevel"/>
    <w:tmpl w:val="D8224D6E"/>
    <w:lvl w:ilvl="0">
      <w:start w:val="3"/>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15:restartNumberingAfterBreak="0">
    <w:nsid w:val="6B2E0E99"/>
    <w:multiLevelType w:val="singleLevel"/>
    <w:tmpl w:val="600AE5AE"/>
    <w:lvl w:ilvl="0">
      <w:start w:val="2"/>
      <w:numFmt w:val="decimal"/>
      <w:lvlText w:val="[%1."/>
      <w:lvlJc w:val="left"/>
      <w:pPr>
        <w:tabs>
          <w:tab w:val="num" w:pos="360"/>
        </w:tabs>
        <w:ind w:left="360" w:hanging="360"/>
      </w:pPr>
      <w:rPr>
        <w:rFonts w:cs="Times New Roman"/>
      </w:rPr>
    </w:lvl>
  </w:abstractNum>
  <w:abstractNum w:abstractNumId="19" w15:restartNumberingAfterBreak="0">
    <w:nsid w:val="6E01689C"/>
    <w:multiLevelType w:val="singleLevel"/>
    <w:tmpl w:val="A7F29C36"/>
    <w:lvl w:ilvl="0">
      <w:start w:val="8"/>
      <w:numFmt w:val="decimal"/>
      <w:lvlText w:val="[%1.]"/>
      <w:lvlJc w:val="left"/>
      <w:pPr>
        <w:tabs>
          <w:tab w:val="num" w:pos="360"/>
        </w:tabs>
        <w:ind w:left="360" w:hanging="360"/>
      </w:pPr>
      <w:rPr>
        <w:rFonts w:cs="Times New Roman"/>
      </w:rPr>
    </w:lvl>
  </w:abstractNum>
  <w:abstractNum w:abstractNumId="20" w15:restartNumberingAfterBreak="0">
    <w:nsid w:val="7A753AEB"/>
    <w:multiLevelType w:val="singleLevel"/>
    <w:tmpl w:val="F104C308"/>
    <w:lvl w:ilvl="0">
      <w:start w:val="2"/>
      <w:numFmt w:val="decimal"/>
      <w:lvlText w:val="[%1.]"/>
      <w:lvlJc w:val="left"/>
      <w:pPr>
        <w:tabs>
          <w:tab w:val="num" w:pos="360"/>
        </w:tabs>
        <w:ind w:left="360" w:hanging="360"/>
      </w:pPr>
      <w:rPr>
        <w:rFonts w:cs="Times New Roman"/>
      </w:rPr>
    </w:lvl>
  </w:abstractNum>
  <w:abstractNum w:abstractNumId="21" w15:restartNumberingAfterBreak="0">
    <w:nsid w:val="7AA60806"/>
    <w:multiLevelType w:val="hybridMultilevel"/>
    <w:tmpl w:val="B6205BD0"/>
    <w:lvl w:ilvl="0" w:tplc="18E670C2">
      <w:start w:val="4"/>
      <w:numFmt w:val="decimal"/>
      <w:lvlText w:val="%1."/>
      <w:lvlJc w:val="left"/>
      <w:pPr>
        <w:tabs>
          <w:tab w:val="num" w:pos="864"/>
        </w:tabs>
        <w:ind w:left="864" w:hanging="360"/>
      </w:pPr>
      <w:rPr>
        <w:rFonts w:hint="default"/>
      </w:rPr>
    </w:lvl>
    <w:lvl w:ilvl="1" w:tplc="3AA2B45A" w:tentative="1">
      <w:start w:val="1"/>
      <w:numFmt w:val="lowerLetter"/>
      <w:lvlText w:val="%2."/>
      <w:lvlJc w:val="left"/>
      <w:pPr>
        <w:tabs>
          <w:tab w:val="num" w:pos="1584"/>
        </w:tabs>
        <w:ind w:left="1584" w:hanging="360"/>
      </w:pPr>
    </w:lvl>
    <w:lvl w:ilvl="2" w:tplc="6BA64AE6" w:tentative="1">
      <w:start w:val="1"/>
      <w:numFmt w:val="lowerRoman"/>
      <w:lvlText w:val="%3."/>
      <w:lvlJc w:val="right"/>
      <w:pPr>
        <w:tabs>
          <w:tab w:val="num" w:pos="2304"/>
        </w:tabs>
        <w:ind w:left="2304" w:hanging="180"/>
      </w:pPr>
    </w:lvl>
    <w:lvl w:ilvl="3" w:tplc="DEA05DFA" w:tentative="1">
      <w:start w:val="1"/>
      <w:numFmt w:val="decimal"/>
      <w:lvlText w:val="%4."/>
      <w:lvlJc w:val="left"/>
      <w:pPr>
        <w:tabs>
          <w:tab w:val="num" w:pos="3024"/>
        </w:tabs>
        <w:ind w:left="3024" w:hanging="360"/>
      </w:pPr>
    </w:lvl>
    <w:lvl w:ilvl="4" w:tplc="DB700F0A" w:tentative="1">
      <w:start w:val="1"/>
      <w:numFmt w:val="lowerLetter"/>
      <w:lvlText w:val="%5."/>
      <w:lvlJc w:val="left"/>
      <w:pPr>
        <w:tabs>
          <w:tab w:val="num" w:pos="3744"/>
        </w:tabs>
        <w:ind w:left="3744" w:hanging="360"/>
      </w:pPr>
    </w:lvl>
    <w:lvl w:ilvl="5" w:tplc="6BA4D7F2" w:tentative="1">
      <w:start w:val="1"/>
      <w:numFmt w:val="lowerRoman"/>
      <w:lvlText w:val="%6."/>
      <w:lvlJc w:val="right"/>
      <w:pPr>
        <w:tabs>
          <w:tab w:val="num" w:pos="4464"/>
        </w:tabs>
        <w:ind w:left="4464" w:hanging="180"/>
      </w:pPr>
    </w:lvl>
    <w:lvl w:ilvl="6" w:tplc="11BA755C" w:tentative="1">
      <w:start w:val="1"/>
      <w:numFmt w:val="decimal"/>
      <w:lvlText w:val="%7."/>
      <w:lvlJc w:val="left"/>
      <w:pPr>
        <w:tabs>
          <w:tab w:val="num" w:pos="5184"/>
        </w:tabs>
        <w:ind w:left="5184" w:hanging="360"/>
      </w:pPr>
    </w:lvl>
    <w:lvl w:ilvl="7" w:tplc="B32052E6" w:tentative="1">
      <w:start w:val="1"/>
      <w:numFmt w:val="lowerLetter"/>
      <w:lvlText w:val="%8."/>
      <w:lvlJc w:val="left"/>
      <w:pPr>
        <w:tabs>
          <w:tab w:val="num" w:pos="5904"/>
        </w:tabs>
        <w:ind w:left="5904" w:hanging="360"/>
      </w:pPr>
    </w:lvl>
    <w:lvl w:ilvl="8" w:tplc="C804FA64" w:tentative="1">
      <w:start w:val="1"/>
      <w:numFmt w:val="lowerRoman"/>
      <w:lvlText w:val="%9."/>
      <w:lvlJc w:val="right"/>
      <w:pPr>
        <w:tabs>
          <w:tab w:val="num" w:pos="6624"/>
        </w:tabs>
        <w:ind w:left="6624" w:hanging="180"/>
      </w:pPr>
    </w:lvl>
  </w:abstractNum>
  <w:abstractNum w:abstractNumId="22" w15:restartNumberingAfterBreak="0">
    <w:nsid w:val="7BC760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D353F3B"/>
    <w:multiLevelType w:val="singleLevel"/>
    <w:tmpl w:val="E9A89758"/>
    <w:lvl w:ilvl="0">
      <w:start w:val="13"/>
      <w:numFmt w:val="lowerLetter"/>
      <w:lvlText w:val="(%1)"/>
      <w:lvlJc w:val="left"/>
      <w:pPr>
        <w:tabs>
          <w:tab w:val="num" w:pos="720"/>
        </w:tabs>
        <w:ind w:left="720" w:hanging="720"/>
      </w:pPr>
      <w:rPr>
        <w:rFonts w:cs="Times New Roman" w:hint="default"/>
      </w:rPr>
    </w:lvl>
  </w:abstractNum>
  <w:num w:numId="1">
    <w:abstractNumId w:val="7"/>
  </w:num>
  <w:num w:numId="2">
    <w:abstractNumId w:val="12"/>
  </w:num>
  <w:num w:numId="3">
    <w:abstractNumId w:val="22"/>
  </w:num>
  <w:num w:numId="4">
    <w:abstractNumId w:val="14"/>
  </w:num>
  <w:num w:numId="5">
    <w:abstractNumId w:val="6"/>
  </w:num>
  <w:num w:numId="6">
    <w:abstractNumId w:val="8"/>
  </w:num>
  <w:num w:numId="7">
    <w:abstractNumId w:val="21"/>
  </w:num>
  <w:num w:numId="8">
    <w:abstractNumId w:val="15"/>
  </w:num>
  <w:num w:numId="9">
    <w:abstractNumId w:val="4"/>
  </w:num>
  <w:num w:numId="10">
    <w:abstractNumId w:val="19"/>
  </w:num>
  <w:num w:numId="11">
    <w:abstractNumId w:val="18"/>
  </w:num>
  <w:num w:numId="12">
    <w:abstractNumId w:val="5"/>
  </w:num>
  <w:num w:numId="13">
    <w:abstractNumId w:val="9"/>
  </w:num>
  <w:num w:numId="14">
    <w:abstractNumId w:val="13"/>
  </w:num>
  <w:num w:numId="15">
    <w:abstractNumId w:val="10"/>
  </w:num>
  <w:num w:numId="16">
    <w:abstractNumId w:val="16"/>
  </w:num>
  <w:num w:numId="17">
    <w:abstractNumId w:val="20"/>
  </w:num>
  <w:num w:numId="18">
    <w:abstractNumId w:val="23"/>
  </w:num>
  <w:num w:numId="19">
    <w:abstractNumId w:val="0"/>
  </w:num>
  <w:num w:numId="20">
    <w:abstractNumId w:val="1"/>
  </w:num>
  <w:num w:numId="21">
    <w:abstractNumId w:val="17"/>
  </w:num>
  <w:num w:numId="22">
    <w:abstractNumId w:val="11"/>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C84"/>
    <w:rsid w:val="00016782"/>
    <w:rsid w:val="00032E53"/>
    <w:rsid w:val="00155749"/>
    <w:rsid w:val="00196461"/>
    <w:rsid w:val="00257343"/>
    <w:rsid w:val="002B249B"/>
    <w:rsid w:val="002D084C"/>
    <w:rsid w:val="002F07DA"/>
    <w:rsid w:val="00350C4C"/>
    <w:rsid w:val="003D61E3"/>
    <w:rsid w:val="003E0E60"/>
    <w:rsid w:val="00441F73"/>
    <w:rsid w:val="004477CE"/>
    <w:rsid w:val="004D0A40"/>
    <w:rsid w:val="00537BC4"/>
    <w:rsid w:val="00554176"/>
    <w:rsid w:val="005730B8"/>
    <w:rsid w:val="005B3FC1"/>
    <w:rsid w:val="005F444F"/>
    <w:rsid w:val="006377AF"/>
    <w:rsid w:val="00650EDF"/>
    <w:rsid w:val="00767C7F"/>
    <w:rsid w:val="007C2C84"/>
    <w:rsid w:val="008166B1"/>
    <w:rsid w:val="00883489"/>
    <w:rsid w:val="008A5287"/>
    <w:rsid w:val="008F0791"/>
    <w:rsid w:val="008F448F"/>
    <w:rsid w:val="009364F6"/>
    <w:rsid w:val="00953A50"/>
    <w:rsid w:val="009B1FDE"/>
    <w:rsid w:val="009B7E0B"/>
    <w:rsid w:val="00A23516"/>
    <w:rsid w:val="00A27FC8"/>
    <w:rsid w:val="00A3103C"/>
    <w:rsid w:val="00A3351D"/>
    <w:rsid w:val="00A351EB"/>
    <w:rsid w:val="00A55A1F"/>
    <w:rsid w:val="00A6166B"/>
    <w:rsid w:val="00A72EBB"/>
    <w:rsid w:val="00AA6F51"/>
    <w:rsid w:val="00B10057"/>
    <w:rsid w:val="00BE2E7B"/>
    <w:rsid w:val="00C91D37"/>
    <w:rsid w:val="00CC5500"/>
    <w:rsid w:val="00CE5AFA"/>
    <w:rsid w:val="00D82F27"/>
    <w:rsid w:val="00DD59E2"/>
    <w:rsid w:val="00FD28E3"/>
    <w:rsid w:val="00FF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55344"/>
  <w15:chartTrackingRefBased/>
  <w15:docId w15:val="{FD5C9140-1C30-4BDC-A240-42B047DC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semiHidden/>
    <w:pPr>
      <w:ind w:left="504" w:hanging="50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ection">
    <w:name w:val="Section"/>
    <w:basedOn w:val="Normal"/>
    <w:pPr>
      <w:autoSpaceDE/>
      <w:autoSpaceDN/>
      <w:adjustRightInd/>
      <w:spacing w:line="240" w:lineRule="exact"/>
    </w:pPr>
    <w:rPr>
      <w:szCs w:val="20"/>
    </w:rPr>
  </w:style>
  <w:style w:type="paragraph" w:customStyle="1" w:styleId="HeadingforTOC">
    <w:name w:val="Heading for TOC"/>
    <w:basedOn w:val="Header"/>
    <w:next w:val="Normal"/>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rPr>
      <w:b/>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BodyText">
    <w:name w:val="Body Text"/>
    <w:basedOn w:val="Normal"/>
    <w:semiHidden/>
    <w:pPr>
      <w:widowControl/>
      <w:autoSpaceDE/>
      <w:autoSpaceDN/>
      <w:adjustRightInd/>
    </w:pPr>
  </w:style>
  <w:style w:type="paragraph" w:styleId="DocumentMap">
    <w:name w:val="Document Map"/>
    <w:basedOn w:val="Normal"/>
    <w:semiHidden/>
    <w:pPr>
      <w:shd w:val="clear" w:color="auto" w:fill="000080"/>
    </w:pPr>
    <w:rPr>
      <w:rFonts w:ascii="Tahoma" w:hAnsi="Tahoma"/>
    </w:rPr>
  </w:style>
  <w:style w:type="paragraph" w:styleId="NoSpacing">
    <w:name w:val="No Spacing"/>
    <w:uiPriority w:val="1"/>
    <w:qFormat/>
    <w:rsid w:val="007C2C84"/>
    <w:pPr>
      <w:widowControl w:val="0"/>
      <w:autoSpaceDE w:val="0"/>
      <w:autoSpaceDN w:val="0"/>
      <w:adjustRightInd w:val="0"/>
    </w:pPr>
    <w:rPr>
      <w:sz w:val="24"/>
      <w:szCs w:val="24"/>
    </w:rPr>
  </w:style>
  <w:style w:type="character" w:styleId="HTMLTypewriter">
    <w:name w:val="HTML Typewriter"/>
    <w:uiPriority w:val="99"/>
    <w:semiHidden/>
    <w:unhideWhenUsed/>
    <w:rsid w:val="007C2C84"/>
    <w:rPr>
      <w:rFonts w:ascii="Courier New" w:eastAsia="Times New Roman" w:hAnsi="Courier New" w:cs="Courier New"/>
      <w:sz w:val="20"/>
      <w:szCs w:val="20"/>
    </w:rPr>
  </w:style>
  <w:style w:type="table" w:styleId="TableGrid">
    <w:name w:val="Table Grid"/>
    <w:basedOn w:val="TableNormal"/>
    <w:uiPriority w:val="59"/>
    <w:rsid w:val="00CC5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EBB"/>
    <w:rPr>
      <w:rFonts w:ascii="Segoe UI" w:hAnsi="Segoe UI" w:cs="Segoe UI"/>
      <w:sz w:val="18"/>
      <w:szCs w:val="18"/>
    </w:rPr>
  </w:style>
  <w:style w:type="character" w:customStyle="1" w:styleId="BalloonTextChar">
    <w:name w:val="Balloon Text Char"/>
    <w:link w:val="BalloonText"/>
    <w:uiPriority w:val="99"/>
    <w:semiHidden/>
    <w:rsid w:val="00A72EBB"/>
    <w:rPr>
      <w:rFonts w:ascii="Segoe UI" w:hAnsi="Segoe UI" w:cs="Segoe UI"/>
      <w:sz w:val="18"/>
      <w:szCs w:val="18"/>
    </w:rPr>
  </w:style>
  <w:style w:type="character" w:styleId="CommentReference">
    <w:name w:val="annotation reference"/>
    <w:uiPriority w:val="99"/>
    <w:semiHidden/>
    <w:unhideWhenUsed/>
    <w:rsid w:val="00A72EBB"/>
    <w:rPr>
      <w:sz w:val="16"/>
      <w:szCs w:val="16"/>
    </w:rPr>
  </w:style>
  <w:style w:type="paragraph" w:styleId="CommentText">
    <w:name w:val="annotation text"/>
    <w:basedOn w:val="Normal"/>
    <w:link w:val="CommentTextChar"/>
    <w:uiPriority w:val="99"/>
    <w:semiHidden/>
    <w:unhideWhenUsed/>
    <w:rsid w:val="00A72EBB"/>
    <w:rPr>
      <w:sz w:val="20"/>
      <w:szCs w:val="20"/>
    </w:rPr>
  </w:style>
  <w:style w:type="character" w:customStyle="1" w:styleId="CommentTextChar">
    <w:name w:val="Comment Text Char"/>
    <w:basedOn w:val="DefaultParagraphFont"/>
    <w:link w:val="CommentText"/>
    <w:uiPriority w:val="99"/>
    <w:semiHidden/>
    <w:rsid w:val="00A72EBB"/>
  </w:style>
  <w:style w:type="paragraph" w:styleId="CommentSubject">
    <w:name w:val="annotation subject"/>
    <w:basedOn w:val="CommentText"/>
    <w:next w:val="CommentText"/>
    <w:link w:val="CommentSubjectChar"/>
    <w:uiPriority w:val="99"/>
    <w:semiHidden/>
    <w:unhideWhenUsed/>
    <w:rsid w:val="00A72EBB"/>
    <w:rPr>
      <w:b/>
      <w:bCs/>
    </w:rPr>
  </w:style>
  <w:style w:type="character" w:customStyle="1" w:styleId="CommentSubjectChar">
    <w:name w:val="Comment Subject Char"/>
    <w:link w:val="CommentSubject"/>
    <w:uiPriority w:val="99"/>
    <w:semiHidden/>
    <w:rsid w:val="00A72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82444">
      <w:bodyDiv w:val="1"/>
      <w:marLeft w:val="0"/>
      <w:marRight w:val="0"/>
      <w:marTop w:val="0"/>
      <w:marBottom w:val="0"/>
      <w:divBdr>
        <w:top w:val="none" w:sz="0" w:space="0" w:color="auto"/>
        <w:left w:val="none" w:sz="0" w:space="0" w:color="auto"/>
        <w:bottom w:val="none" w:sz="0" w:space="0" w:color="auto"/>
        <w:right w:val="none" w:sz="0" w:space="0" w:color="auto"/>
      </w:divBdr>
      <w:divsChild>
        <w:div w:id="763691247">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7:27-9</vt:lpstr>
    </vt:vector>
  </TitlesOfParts>
  <Company>NJDEP</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7:27-9</dc:title>
  <dc:subject/>
  <dc:creator>fweiner</dc:creator>
  <cp:keywords/>
  <dc:description/>
  <cp:lastModifiedBy>Wong, Danny</cp:lastModifiedBy>
  <cp:revision>4</cp:revision>
  <cp:lastPrinted>2010-08-30T14:12:00Z</cp:lastPrinted>
  <dcterms:created xsi:type="dcterms:W3CDTF">2017-08-30T15:30:00Z</dcterms:created>
  <dcterms:modified xsi:type="dcterms:W3CDTF">2018-01-02T15:30:00Z</dcterms:modified>
</cp:coreProperties>
</file>