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D61" w:rsidRDefault="00225D61" w:rsidP="00163092">
      <w:pPr>
        <w:widowControl/>
        <w:tabs>
          <w:tab w:val="center" w:pos="4680"/>
        </w:tabs>
        <w:jc w:val="center"/>
        <w:outlineLvl w:val="0"/>
      </w:pPr>
      <w:bookmarkStart w:id="0" w:name="_GoBack"/>
      <w:bookmarkEnd w:id="0"/>
      <w:r>
        <w:t>NEW JERSEY STATE DEPARTMENT OF ENVIRONMENTAL PROTECTION</w:t>
      </w:r>
    </w:p>
    <w:p w:rsidR="00225D61" w:rsidRDefault="00225D61" w:rsidP="00501153">
      <w:pPr>
        <w:widowControl/>
        <w:jc w:val="center"/>
        <w:outlineLvl w:val="0"/>
      </w:pPr>
      <w:r>
        <w:t>NEW JERSEY ADMINISTRATIVE CODE</w:t>
      </w:r>
    </w:p>
    <w:p w:rsidR="00225D61" w:rsidRDefault="00225D61" w:rsidP="00501153">
      <w:pPr>
        <w:widowControl/>
        <w:jc w:val="center"/>
        <w:outlineLvl w:val="0"/>
      </w:pPr>
      <w:r>
        <w:t>TITLE 7</w:t>
      </w:r>
    </w:p>
    <w:p w:rsidR="00225D61" w:rsidRDefault="00225D61" w:rsidP="00501153">
      <w:pPr>
        <w:widowControl/>
        <w:jc w:val="center"/>
        <w:outlineLvl w:val="0"/>
      </w:pPr>
      <w:r>
        <w:t>CHAPTER 27</w:t>
      </w:r>
    </w:p>
    <w:p w:rsidR="00225D61" w:rsidRDefault="00225D61" w:rsidP="00501153">
      <w:pPr>
        <w:widowControl/>
        <w:jc w:val="center"/>
        <w:outlineLvl w:val="0"/>
      </w:pPr>
      <w:r>
        <w:t xml:space="preserve">SUBCHAPTER </w:t>
      </w:r>
      <w:r w:rsidR="002C2C05">
        <w:t>5</w:t>
      </w:r>
    </w:p>
    <w:p w:rsidR="00225D61" w:rsidRDefault="00225D61" w:rsidP="00501153">
      <w:pPr>
        <w:widowControl/>
        <w:jc w:val="center"/>
        <w:rPr>
          <w:b/>
        </w:rPr>
      </w:pPr>
    </w:p>
    <w:p w:rsidR="00225D61" w:rsidRDefault="00C75FCA" w:rsidP="00501153">
      <w:pPr>
        <w:widowControl/>
        <w:jc w:val="center"/>
        <w:rPr>
          <w:rFonts w:ascii="Times New (W1)" w:hAnsi="Times New (W1)"/>
          <w:caps/>
          <w:sz w:val="28"/>
        </w:rPr>
      </w:pPr>
      <w:r>
        <w:rPr>
          <w:b/>
          <w:bCs/>
        </w:rPr>
        <w:t>Prohibition of Air Pollution</w:t>
      </w:r>
    </w:p>
    <w:p w:rsidR="00225D61" w:rsidRDefault="00225D61" w:rsidP="00501153">
      <w:pPr>
        <w:widowControl/>
        <w:jc w:val="center"/>
      </w:pPr>
    </w:p>
    <w:p w:rsidR="00225D61" w:rsidRDefault="00225D61" w:rsidP="00501153">
      <w:pPr>
        <w:widowControl/>
        <w:jc w:val="center"/>
        <w:outlineLvl w:val="0"/>
      </w:pPr>
      <w:bookmarkStart w:id="1" w:name="TABLE_OF_CONTENTS"/>
      <w:bookmarkEnd w:id="1"/>
      <w:r>
        <w:t>TABLE OF CONTENTS</w:t>
      </w:r>
    </w:p>
    <w:p w:rsidR="0084188C" w:rsidRDefault="0084188C">
      <w:pPr>
        <w:widowControl/>
        <w:tabs>
          <w:tab w:val="left" w:pos="-1440"/>
          <w:tab w:val="left" w:pos="-720"/>
          <w:tab w:val="left" w:pos="0"/>
          <w:tab w:val="left" w:pos="720"/>
          <w:tab w:val="left" w:pos="1440"/>
          <w:tab w:val="right" w:pos="9360"/>
        </w:tabs>
        <w:jc w:val="both"/>
        <w:rPr>
          <w:b/>
        </w:rPr>
      </w:pPr>
    </w:p>
    <w:p w:rsidR="00225D61" w:rsidRDefault="0084188C" w:rsidP="0084188C">
      <w:pPr>
        <w:widowControl/>
        <w:tabs>
          <w:tab w:val="right" w:pos="9360"/>
        </w:tabs>
        <w:jc w:val="both"/>
      </w:pPr>
      <w:r w:rsidRPr="0084188C">
        <w:rPr>
          <w:b/>
          <w:u w:val="single"/>
        </w:rPr>
        <w:t>Section</w:t>
      </w:r>
      <w:r w:rsidR="00225D61">
        <w:rPr>
          <w:b/>
        </w:rPr>
        <w:tab/>
      </w:r>
      <w:r w:rsidRPr="0084188C">
        <w:rPr>
          <w:b/>
          <w:u w:val="single"/>
        </w:rPr>
        <w:t>Page</w:t>
      </w:r>
    </w:p>
    <w:p w:rsidR="003660EE" w:rsidRDefault="00163092">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\f \t "Heading 2,1" </w:instrText>
      </w:r>
      <w:r>
        <w:fldChar w:fldCharType="separate"/>
      </w:r>
      <w:r w:rsidR="003660EE" w:rsidRPr="002B77CE">
        <w:rPr>
          <w:noProof/>
        </w:rPr>
        <w:t>REGULATORY HISTORY</w:t>
      </w:r>
      <w:r w:rsidR="003660EE">
        <w:rPr>
          <w:noProof/>
        </w:rPr>
        <w:tab/>
      </w:r>
      <w:r w:rsidR="003660EE">
        <w:rPr>
          <w:noProof/>
        </w:rPr>
        <w:fldChar w:fldCharType="begin"/>
      </w:r>
      <w:r w:rsidR="003660EE">
        <w:rPr>
          <w:noProof/>
        </w:rPr>
        <w:instrText xml:space="preserve"> PAGEREF _Toc488137239 \h </w:instrText>
      </w:r>
      <w:r w:rsidR="003660EE">
        <w:rPr>
          <w:noProof/>
        </w:rPr>
      </w:r>
      <w:r w:rsidR="003660EE">
        <w:rPr>
          <w:noProof/>
        </w:rPr>
        <w:fldChar w:fldCharType="separate"/>
      </w:r>
      <w:r w:rsidR="003660EE">
        <w:rPr>
          <w:noProof/>
        </w:rPr>
        <w:t>2</w:t>
      </w:r>
      <w:r w:rsidR="003660EE">
        <w:rPr>
          <w:noProof/>
        </w:rPr>
        <w:fldChar w:fldCharType="end"/>
      </w:r>
    </w:p>
    <w:p w:rsidR="003660EE" w:rsidRDefault="003660EE">
      <w:pPr>
        <w:pStyle w:val="TOC1"/>
        <w:tabs>
          <w:tab w:val="left" w:pos="1100"/>
          <w:tab w:val="right" w:leader="dot" w:pos="9350"/>
        </w:tabs>
        <w:rPr>
          <w:rFonts w:asciiTheme="minorHAnsi" w:eastAsiaTheme="minorEastAsia" w:hAnsiTheme="minorHAnsi" w:cstheme="minorBidi"/>
          <w:noProof/>
          <w:sz w:val="22"/>
          <w:szCs w:val="22"/>
        </w:rPr>
      </w:pPr>
      <w:r>
        <w:rPr>
          <w:noProof/>
        </w:rPr>
        <w:t>7:27-5.1</w:t>
      </w:r>
      <w:r>
        <w:rPr>
          <w:rFonts w:asciiTheme="minorHAnsi" w:eastAsiaTheme="minorEastAsia" w:hAnsiTheme="minorHAnsi" w:cstheme="minorBidi"/>
          <w:noProof/>
          <w:sz w:val="22"/>
          <w:szCs w:val="22"/>
        </w:rPr>
        <w:tab/>
      </w:r>
      <w:r>
        <w:rPr>
          <w:noProof/>
        </w:rPr>
        <w:t>Definitions</w:t>
      </w:r>
      <w:r>
        <w:rPr>
          <w:noProof/>
        </w:rPr>
        <w:tab/>
      </w:r>
      <w:r>
        <w:rPr>
          <w:noProof/>
        </w:rPr>
        <w:fldChar w:fldCharType="begin"/>
      </w:r>
      <w:r>
        <w:rPr>
          <w:noProof/>
        </w:rPr>
        <w:instrText xml:space="preserve"> PAGEREF _Toc488137240 \h </w:instrText>
      </w:r>
      <w:r>
        <w:rPr>
          <w:noProof/>
        </w:rPr>
      </w:r>
      <w:r>
        <w:rPr>
          <w:noProof/>
        </w:rPr>
        <w:fldChar w:fldCharType="separate"/>
      </w:r>
      <w:r>
        <w:rPr>
          <w:noProof/>
        </w:rPr>
        <w:t>3</w:t>
      </w:r>
      <w:r>
        <w:rPr>
          <w:noProof/>
        </w:rPr>
        <w:fldChar w:fldCharType="end"/>
      </w:r>
    </w:p>
    <w:p w:rsidR="003660EE" w:rsidRDefault="003660EE">
      <w:pPr>
        <w:pStyle w:val="TOC1"/>
        <w:tabs>
          <w:tab w:val="left" w:pos="1100"/>
          <w:tab w:val="right" w:leader="dot" w:pos="9350"/>
        </w:tabs>
        <w:rPr>
          <w:rFonts w:asciiTheme="minorHAnsi" w:eastAsiaTheme="minorEastAsia" w:hAnsiTheme="minorHAnsi" w:cstheme="minorBidi"/>
          <w:noProof/>
          <w:sz w:val="22"/>
          <w:szCs w:val="22"/>
        </w:rPr>
      </w:pPr>
      <w:r>
        <w:rPr>
          <w:noProof/>
        </w:rPr>
        <w:t>7:27-5.2</w:t>
      </w:r>
      <w:r>
        <w:rPr>
          <w:rFonts w:asciiTheme="minorHAnsi" w:eastAsiaTheme="minorEastAsia" w:hAnsiTheme="minorHAnsi" w:cstheme="minorBidi"/>
          <w:noProof/>
          <w:sz w:val="22"/>
          <w:szCs w:val="22"/>
        </w:rPr>
        <w:tab/>
      </w:r>
      <w:r>
        <w:rPr>
          <w:noProof/>
        </w:rPr>
        <w:t>General provisions</w:t>
      </w:r>
      <w:r>
        <w:rPr>
          <w:noProof/>
        </w:rPr>
        <w:tab/>
      </w:r>
      <w:r>
        <w:rPr>
          <w:noProof/>
        </w:rPr>
        <w:fldChar w:fldCharType="begin"/>
      </w:r>
      <w:r>
        <w:rPr>
          <w:noProof/>
        </w:rPr>
        <w:instrText xml:space="preserve"> PAGEREF _Toc488137242 \h </w:instrText>
      </w:r>
      <w:r>
        <w:rPr>
          <w:noProof/>
        </w:rPr>
      </w:r>
      <w:r>
        <w:rPr>
          <w:noProof/>
        </w:rPr>
        <w:fldChar w:fldCharType="separate"/>
      </w:r>
      <w:r>
        <w:rPr>
          <w:noProof/>
        </w:rPr>
        <w:t>3</w:t>
      </w:r>
      <w:r>
        <w:rPr>
          <w:noProof/>
        </w:rPr>
        <w:fldChar w:fldCharType="end"/>
      </w:r>
    </w:p>
    <w:p w:rsidR="00225D61" w:rsidRDefault="00163092">
      <w:pPr>
        <w:widowControl/>
        <w:jc w:val="both"/>
      </w:pPr>
      <w:r>
        <w:fldChar w:fldCharType="end"/>
      </w:r>
    </w:p>
    <w:p w:rsidR="000D11BB" w:rsidRDefault="000D11BB">
      <w:pPr>
        <w:widowControl/>
        <w:jc w:val="both"/>
      </w:pPr>
    </w:p>
    <w:p w:rsidR="00D4565E" w:rsidRDefault="00D4565E">
      <w:pPr>
        <w:widowControl/>
        <w:jc w:val="both"/>
      </w:pPr>
    </w:p>
    <w:p w:rsidR="00D4565E" w:rsidRDefault="00D4565E" w:rsidP="00D4565E">
      <w:pPr>
        <w:widowControl/>
        <w:jc w:val="both"/>
      </w:pPr>
      <w:r>
        <w:rPr>
          <w:i/>
          <w:iCs/>
          <w:sz w:val="22"/>
          <w:szCs w:val="22"/>
        </w:rPr>
        <w:t>Please note:  The Department has made every effort to ensure that this text is identical to the official, legally effective version of this rule, set forth in the New Jersey Register.  However, should there be any discrepancies between this text and the official version of the rule, the official version will prevail.</w:t>
      </w:r>
    </w:p>
    <w:p w:rsidR="00D4565E" w:rsidRDefault="00D4565E">
      <w:pPr>
        <w:widowControl/>
        <w:jc w:val="both"/>
      </w:pPr>
    </w:p>
    <w:p w:rsidR="00225D61" w:rsidRDefault="00225D61">
      <w:pPr>
        <w:widowControl/>
        <w:jc w:val="both"/>
      </w:pPr>
    </w:p>
    <w:p w:rsidR="00225D61" w:rsidRPr="002C2C05" w:rsidRDefault="00D4565E" w:rsidP="00163092">
      <w:pPr>
        <w:pStyle w:val="Heading2"/>
        <w:jc w:val="center"/>
        <w:rPr>
          <w:b w:val="0"/>
        </w:rPr>
      </w:pPr>
      <w:r>
        <w:br w:type="page"/>
      </w:r>
      <w:bookmarkStart w:id="2" w:name="_Toc488137239"/>
      <w:r w:rsidR="00225D61" w:rsidRPr="002C2C05">
        <w:rPr>
          <w:b w:val="0"/>
        </w:rPr>
        <w:lastRenderedPageBreak/>
        <w:t>REGULATORY HISTORY</w:t>
      </w:r>
      <w:bookmarkEnd w:id="2"/>
    </w:p>
    <w:p w:rsidR="00225D61" w:rsidRDefault="00225D61">
      <w:pPr>
        <w:pStyle w:val="Section"/>
        <w:widowControl/>
        <w:jc w:val="both"/>
      </w:pPr>
    </w:p>
    <w:tbl>
      <w:tblPr>
        <w:tblW w:w="0" w:type="auto"/>
        <w:jc w:val="center"/>
        <w:tblLayout w:type="fixed"/>
        <w:tblCellMar>
          <w:left w:w="120" w:type="dxa"/>
          <w:right w:w="120" w:type="dxa"/>
        </w:tblCellMar>
        <w:tblLook w:val="0000" w:firstRow="0" w:lastRow="0" w:firstColumn="0" w:lastColumn="0" w:noHBand="0" w:noVBand="0"/>
      </w:tblPr>
      <w:tblGrid>
        <w:gridCol w:w="3330"/>
        <w:gridCol w:w="6030"/>
      </w:tblGrid>
      <w:tr w:rsidR="002C2C05" w:rsidTr="00094566">
        <w:trPr>
          <w:trHeight w:hRule="exact" w:val="360"/>
          <w:jc w:val="center"/>
        </w:trPr>
        <w:tc>
          <w:tcPr>
            <w:tcW w:w="3330" w:type="dxa"/>
            <w:tcBorders>
              <w:top w:val="nil"/>
              <w:left w:val="nil"/>
              <w:bottom w:val="nil"/>
              <w:right w:val="nil"/>
            </w:tcBorders>
            <w:vAlign w:val="bottom"/>
          </w:tcPr>
          <w:p w:rsidR="002C2C05" w:rsidRDefault="002C2C05" w:rsidP="00094566">
            <w:r>
              <w:t>Filed:</w:t>
            </w:r>
          </w:p>
        </w:tc>
        <w:tc>
          <w:tcPr>
            <w:tcW w:w="6030" w:type="dxa"/>
            <w:tcBorders>
              <w:top w:val="nil"/>
              <w:left w:val="nil"/>
              <w:bottom w:val="nil"/>
              <w:right w:val="nil"/>
            </w:tcBorders>
            <w:vAlign w:val="bottom"/>
          </w:tcPr>
          <w:p w:rsidR="002C2C05" w:rsidRDefault="002C2C05" w:rsidP="00094566">
            <w:r>
              <w:t>October 27, 1960</w:t>
            </w:r>
          </w:p>
        </w:tc>
      </w:tr>
      <w:tr w:rsidR="002C2C05" w:rsidTr="00094566">
        <w:trPr>
          <w:trHeight w:hRule="exact" w:val="360"/>
          <w:jc w:val="center"/>
        </w:trPr>
        <w:tc>
          <w:tcPr>
            <w:tcW w:w="3330" w:type="dxa"/>
            <w:tcBorders>
              <w:top w:val="nil"/>
              <w:left w:val="nil"/>
              <w:bottom w:val="nil"/>
              <w:right w:val="nil"/>
            </w:tcBorders>
            <w:vAlign w:val="bottom"/>
          </w:tcPr>
          <w:p w:rsidR="002C2C05" w:rsidRDefault="002C2C05" w:rsidP="00094566">
            <w:r>
              <w:t>Effective:</w:t>
            </w:r>
          </w:p>
        </w:tc>
        <w:tc>
          <w:tcPr>
            <w:tcW w:w="6030" w:type="dxa"/>
            <w:tcBorders>
              <w:top w:val="nil"/>
              <w:left w:val="nil"/>
              <w:bottom w:val="nil"/>
              <w:right w:val="nil"/>
            </w:tcBorders>
            <w:vAlign w:val="bottom"/>
          </w:tcPr>
          <w:p w:rsidR="002C2C05" w:rsidRDefault="002C2C05" w:rsidP="00094566">
            <w:r>
              <w:t>January 1, 1961</w:t>
            </w:r>
          </w:p>
        </w:tc>
      </w:tr>
      <w:tr w:rsidR="002C2C05" w:rsidTr="00094566">
        <w:trPr>
          <w:trHeight w:hRule="exact" w:val="360"/>
          <w:jc w:val="center"/>
        </w:trPr>
        <w:tc>
          <w:tcPr>
            <w:tcW w:w="3330" w:type="dxa"/>
            <w:tcBorders>
              <w:top w:val="nil"/>
              <w:left w:val="nil"/>
              <w:bottom w:val="nil"/>
              <w:right w:val="nil"/>
            </w:tcBorders>
            <w:vAlign w:val="bottom"/>
          </w:tcPr>
          <w:p w:rsidR="002C2C05" w:rsidRDefault="002C2C05" w:rsidP="00094566"/>
        </w:tc>
        <w:tc>
          <w:tcPr>
            <w:tcW w:w="6030" w:type="dxa"/>
            <w:tcBorders>
              <w:top w:val="nil"/>
              <w:left w:val="nil"/>
              <w:bottom w:val="nil"/>
              <w:right w:val="nil"/>
            </w:tcBorders>
            <w:vAlign w:val="bottom"/>
          </w:tcPr>
          <w:p w:rsidR="002C2C05" w:rsidRDefault="002C2C05" w:rsidP="00094566"/>
        </w:tc>
      </w:tr>
      <w:tr w:rsidR="002C2C05" w:rsidTr="00094566">
        <w:trPr>
          <w:trHeight w:hRule="exact" w:val="360"/>
          <w:jc w:val="center"/>
        </w:trPr>
        <w:tc>
          <w:tcPr>
            <w:tcW w:w="3330" w:type="dxa"/>
            <w:tcBorders>
              <w:top w:val="nil"/>
              <w:left w:val="nil"/>
              <w:bottom w:val="nil"/>
              <w:right w:val="nil"/>
            </w:tcBorders>
            <w:vAlign w:val="bottom"/>
          </w:tcPr>
          <w:p w:rsidR="002C2C05" w:rsidRDefault="002C2C05" w:rsidP="00094566">
            <w:r>
              <w:t>Revision Promulgated:</w:t>
            </w:r>
          </w:p>
        </w:tc>
        <w:tc>
          <w:tcPr>
            <w:tcW w:w="6030" w:type="dxa"/>
            <w:tcBorders>
              <w:top w:val="nil"/>
              <w:left w:val="nil"/>
              <w:bottom w:val="nil"/>
              <w:right w:val="nil"/>
            </w:tcBorders>
            <w:vAlign w:val="bottom"/>
          </w:tcPr>
          <w:p w:rsidR="002C2C05" w:rsidRDefault="002C2C05" w:rsidP="00094566">
            <w:r>
              <w:t>August 5, 1977</w:t>
            </w:r>
          </w:p>
        </w:tc>
      </w:tr>
      <w:tr w:rsidR="002C2C05" w:rsidTr="00094566">
        <w:trPr>
          <w:trHeight w:hRule="exact" w:val="360"/>
          <w:jc w:val="center"/>
        </w:trPr>
        <w:tc>
          <w:tcPr>
            <w:tcW w:w="3330" w:type="dxa"/>
            <w:tcBorders>
              <w:top w:val="nil"/>
              <w:left w:val="nil"/>
              <w:bottom w:val="nil"/>
              <w:right w:val="nil"/>
            </w:tcBorders>
            <w:vAlign w:val="bottom"/>
          </w:tcPr>
          <w:p w:rsidR="002C2C05" w:rsidRDefault="002C2C05" w:rsidP="00094566">
            <w:r>
              <w:t>Revision Effective:</w:t>
            </w:r>
          </w:p>
        </w:tc>
        <w:tc>
          <w:tcPr>
            <w:tcW w:w="6030" w:type="dxa"/>
            <w:tcBorders>
              <w:top w:val="nil"/>
              <w:left w:val="nil"/>
              <w:bottom w:val="nil"/>
              <w:right w:val="nil"/>
            </w:tcBorders>
            <w:vAlign w:val="bottom"/>
          </w:tcPr>
          <w:p w:rsidR="002C2C05" w:rsidRDefault="002C2C05" w:rsidP="00094566">
            <w:r>
              <w:t>October 12, 1977 (8 N.J.R. 375(a), 9 N.J.R. 420(a))</w:t>
            </w:r>
          </w:p>
        </w:tc>
      </w:tr>
    </w:tbl>
    <w:p w:rsidR="002C2C05" w:rsidRDefault="002C2C05">
      <w:pPr>
        <w:pStyle w:val="Section"/>
        <w:widowControl/>
        <w:jc w:val="both"/>
        <w:sectPr w:rsidR="002C2C05" w:rsidSect="004B17D5">
          <w:headerReference w:type="default" r:id="rId6"/>
          <w:footerReference w:type="default" r:id="rId7"/>
          <w:pgSz w:w="12240" w:h="15840"/>
          <w:pgMar w:top="1440" w:right="1440" w:bottom="1440" w:left="1440" w:header="720" w:footer="432" w:gutter="0"/>
          <w:cols w:space="720"/>
          <w:noEndnote/>
          <w:docGrid w:linePitch="326"/>
        </w:sectPr>
      </w:pPr>
    </w:p>
    <w:p w:rsidR="00225D61" w:rsidRPr="00227294" w:rsidRDefault="00227294" w:rsidP="00227294">
      <w:pPr>
        <w:pStyle w:val="Heading2"/>
        <w:spacing w:before="0" w:after="0"/>
        <w:rPr>
          <w:szCs w:val="24"/>
        </w:rPr>
      </w:pPr>
      <w:bookmarkStart w:id="3" w:name="_Toc229306720"/>
      <w:r>
        <w:br w:type="page"/>
      </w:r>
      <w:bookmarkStart w:id="4" w:name="_Toc488137240"/>
      <w:r w:rsidR="00225D61" w:rsidRPr="00227294">
        <w:rPr>
          <w:szCs w:val="24"/>
        </w:rPr>
        <w:lastRenderedPageBreak/>
        <w:t>7:27-</w:t>
      </w:r>
      <w:r w:rsidR="002C2C05">
        <w:rPr>
          <w:szCs w:val="24"/>
        </w:rPr>
        <w:t>5</w:t>
      </w:r>
      <w:r w:rsidR="00225D61" w:rsidRPr="00227294">
        <w:rPr>
          <w:szCs w:val="24"/>
        </w:rPr>
        <w:t>.1</w:t>
      </w:r>
      <w:r w:rsidR="00225D61" w:rsidRPr="00227294">
        <w:rPr>
          <w:szCs w:val="24"/>
        </w:rPr>
        <w:tab/>
        <w:t>Definitions</w:t>
      </w:r>
      <w:bookmarkEnd w:id="3"/>
      <w:bookmarkEnd w:id="4"/>
      <w:r w:rsidR="000360D3" w:rsidRPr="00227294">
        <w:rPr>
          <w:szCs w:val="24"/>
        </w:rPr>
        <w:fldChar w:fldCharType="begin"/>
      </w:r>
      <w:r w:rsidR="000360D3" w:rsidRPr="00227294">
        <w:rPr>
          <w:szCs w:val="24"/>
        </w:rPr>
        <w:instrText xml:space="preserve">tc </w:instrText>
      </w:r>
      <w:r w:rsidR="00225D61" w:rsidRPr="00227294">
        <w:rPr>
          <w:szCs w:val="24"/>
        </w:rPr>
        <w:instrText xml:space="preserve"> \l 1 </w:instrText>
      </w:r>
      <w:r w:rsidR="000360D3" w:rsidRPr="00227294">
        <w:rPr>
          <w:szCs w:val="24"/>
        </w:rPr>
        <w:instrText>"</w:instrText>
      </w:r>
      <w:bookmarkStart w:id="5" w:name="_Toc488136654"/>
      <w:bookmarkStart w:id="6" w:name="_Toc488136682"/>
      <w:bookmarkStart w:id="7" w:name="_Toc488137241"/>
      <w:r w:rsidR="00225D61" w:rsidRPr="00227294">
        <w:rPr>
          <w:szCs w:val="24"/>
        </w:rPr>
        <w:instrText>7:27-4.1</w:instrText>
      </w:r>
      <w:r w:rsidR="00225D61" w:rsidRPr="00227294">
        <w:rPr>
          <w:szCs w:val="24"/>
        </w:rPr>
        <w:tab/>
        <w:instrText>Definitions</w:instrText>
      </w:r>
      <w:bookmarkEnd w:id="5"/>
      <w:bookmarkEnd w:id="6"/>
      <w:bookmarkEnd w:id="7"/>
      <w:r w:rsidR="000360D3" w:rsidRPr="00227294">
        <w:rPr>
          <w:szCs w:val="24"/>
        </w:rPr>
        <w:instrText>"</w:instrText>
      </w:r>
      <w:r w:rsidR="000360D3" w:rsidRPr="00227294">
        <w:rPr>
          <w:szCs w:val="24"/>
        </w:rPr>
        <w:fldChar w:fldCharType="end"/>
      </w:r>
    </w:p>
    <w:p w:rsidR="00225D61" w:rsidRPr="00227294" w:rsidRDefault="00225D61" w:rsidP="00227294">
      <w:pPr>
        <w:widowControl/>
        <w:rPr>
          <w:szCs w:val="24"/>
        </w:rPr>
      </w:pPr>
    </w:p>
    <w:p w:rsidR="002C2C05" w:rsidRDefault="002C2C05" w:rsidP="002C2C05">
      <w:pPr>
        <w:ind w:firstLine="720"/>
      </w:pPr>
      <w:r>
        <w:t>The following words and terms, when used in this subchapter, shall have the following meanings unless the context clearly indicates otherwise.</w:t>
      </w:r>
    </w:p>
    <w:p w:rsidR="002C2C05" w:rsidRDefault="002C2C05" w:rsidP="002C2C05"/>
    <w:p w:rsidR="002C2C05" w:rsidRDefault="002C2C05" w:rsidP="002C2C05">
      <w:pPr>
        <w:ind w:firstLine="720"/>
      </w:pPr>
      <w:r w:rsidRPr="001F0318">
        <w:rPr>
          <w:b/>
        </w:rPr>
        <w:t>“Air pollution”</w:t>
      </w:r>
      <w:r>
        <w:t xml:space="preserve"> means the presence in the outdoor atmosphere of one or more air contaminants in such quantities and duration as are, or tend to be, injurious to human health or welfare, animal or plant life or property, or would unreasonably interfere with the enjoyment of life or property throughout the State and in such territories of the State as shall be affected thereby and excludes all aspects of employer-employee relationship as to health and safety hazards.</w:t>
      </w:r>
    </w:p>
    <w:p w:rsidR="002C2C05" w:rsidRDefault="002C2C05" w:rsidP="002C2C05"/>
    <w:p w:rsidR="002C2C05" w:rsidRDefault="002C2C05" w:rsidP="002C2C05">
      <w:pPr>
        <w:ind w:firstLine="720"/>
      </w:pPr>
      <w:r w:rsidRPr="001F0318">
        <w:rPr>
          <w:b/>
        </w:rPr>
        <w:t>“Economic poisons”</w:t>
      </w:r>
      <w:r>
        <w:t xml:space="preserve"> means those chemicals used as insecticides, rodenticides, fungicides, herbicides, nematocides or defoliants.</w:t>
      </w:r>
    </w:p>
    <w:p w:rsidR="00225D61" w:rsidRPr="00227294" w:rsidRDefault="00225D61" w:rsidP="00227294">
      <w:pPr>
        <w:widowControl/>
        <w:rPr>
          <w:szCs w:val="24"/>
        </w:rPr>
      </w:pPr>
    </w:p>
    <w:p w:rsidR="00225D61" w:rsidRPr="00227294" w:rsidRDefault="00225D61" w:rsidP="00227294">
      <w:pPr>
        <w:pStyle w:val="Heading2"/>
        <w:spacing w:before="0" w:after="0"/>
        <w:rPr>
          <w:szCs w:val="24"/>
        </w:rPr>
      </w:pPr>
      <w:bookmarkStart w:id="8" w:name="_Toc488137242"/>
      <w:r w:rsidRPr="00227294">
        <w:rPr>
          <w:szCs w:val="24"/>
        </w:rPr>
        <w:t>7:27-</w:t>
      </w:r>
      <w:r w:rsidR="002C2C05">
        <w:rPr>
          <w:szCs w:val="24"/>
        </w:rPr>
        <w:t>5</w:t>
      </w:r>
      <w:r w:rsidRPr="00227294">
        <w:rPr>
          <w:szCs w:val="24"/>
        </w:rPr>
        <w:t>.2</w:t>
      </w:r>
      <w:r w:rsidRPr="00227294">
        <w:rPr>
          <w:szCs w:val="24"/>
        </w:rPr>
        <w:tab/>
      </w:r>
      <w:r w:rsidR="003660EE">
        <w:rPr>
          <w:szCs w:val="24"/>
        </w:rPr>
        <w:t>General provisions</w:t>
      </w:r>
      <w:bookmarkEnd w:id="8"/>
      <w:r w:rsidR="000360D3" w:rsidRPr="00227294">
        <w:rPr>
          <w:szCs w:val="24"/>
        </w:rPr>
        <w:fldChar w:fldCharType="begin"/>
      </w:r>
      <w:r w:rsidR="000360D3" w:rsidRPr="00227294">
        <w:rPr>
          <w:szCs w:val="24"/>
        </w:rPr>
        <w:fldChar w:fldCharType="end"/>
      </w:r>
    </w:p>
    <w:p w:rsidR="00225D61" w:rsidRPr="00227294" w:rsidRDefault="00225D61" w:rsidP="00227294">
      <w:pPr>
        <w:widowControl/>
        <w:rPr>
          <w:szCs w:val="24"/>
        </w:rPr>
      </w:pPr>
    </w:p>
    <w:p w:rsidR="002C2C05" w:rsidRDefault="002C2C05" w:rsidP="002C2C05">
      <w:pPr>
        <w:tabs>
          <w:tab w:val="left" w:pos="-1440"/>
        </w:tabs>
        <w:ind w:left="720" w:hanging="720"/>
      </w:pPr>
      <w:r>
        <w:t xml:space="preserve">(a) </w:t>
      </w:r>
      <w:r>
        <w:tab/>
        <w:t>Notwithstanding compliance with other subchapters of this chapter, no person shall cause, suffer, allow or permit to be emitted into the outdoor atmosphere substances in quantities which shall result in air pollution as defined herein.</w:t>
      </w:r>
    </w:p>
    <w:p w:rsidR="002C2C05" w:rsidRDefault="002C2C05" w:rsidP="002C2C05"/>
    <w:p w:rsidR="002C2C05" w:rsidRDefault="002C2C05" w:rsidP="002C2C05">
      <w:pPr>
        <w:tabs>
          <w:tab w:val="left" w:pos="-1440"/>
        </w:tabs>
        <w:ind w:left="720" w:hanging="720"/>
      </w:pPr>
      <w:r>
        <w:t xml:space="preserve">(b) </w:t>
      </w:r>
      <w:r>
        <w:tab/>
        <w:t>The provisions of subsection (a) of this section shall not apply to the use of economic poisons.</w:t>
      </w:r>
    </w:p>
    <w:p w:rsidR="002C2C05" w:rsidRDefault="002C2C05" w:rsidP="002C2C05">
      <w:pPr>
        <w:tabs>
          <w:tab w:val="left" w:pos="-1440"/>
        </w:tabs>
        <w:ind w:left="720" w:hanging="720"/>
      </w:pPr>
    </w:p>
    <w:sectPr w:rsidR="002C2C05" w:rsidSect="00227294">
      <w:type w:val="continuous"/>
      <w:pgSz w:w="12240" w:h="15840"/>
      <w:pgMar w:top="1440" w:right="1440" w:bottom="864"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B1A" w:rsidRDefault="00BA2B1A">
      <w:r>
        <w:separator/>
      </w:r>
    </w:p>
  </w:endnote>
  <w:endnote w:type="continuationSeparator" w:id="0">
    <w:p w:rsidR="00BA2B1A" w:rsidRDefault="00BA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New (W1)">
    <w:altName w:val="Bell MT"/>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2E5" w:rsidRDefault="002C72E5" w:rsidP="002C72E5">
    <w:pPr>
      <w:pStyle w:val="Footer"/>
      <w:jc w:val="center"/>
    </w:pPr>
    <w:r>
      <w:rPr>
        <w:rStyle w:val="PageNumber"/>
      </w:rPr>
      <w:fldChar w:fldCharType="begin"/>
    </w:r>
    <w:r>
      <w:rPr>
        <w:rStyle w:val="PageNumber"/>
      </w:rPr>
      <w:instrText xml:space="preserve"> PAGE </w:instrText>
    </w:r>
    <w:r>
      <w:rPr>
        <w:rStyle w:val="PageNumber"/>
      </w:rPr>
      <w:fldChar w:fldCharType="separate"/>
    </w:r>
    <w:r w:rsidR="005A465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A465A">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B1A" w:rsidRDefault="00BA2B1A">
      <w:r>
        <w:separator/>
      </w:r>
    </w:p>
  </w:footnote>
  <w:footnote w:type="continuationSeparator" w:id="0">
    <w:p w:rsidR="00BA2B1A" w:rsidRDefault="00BA2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186" w:rsidRPr="00227294" w:rsidRDefault="00913DFF" w:rsidP="00227294">
    <w:pPr>
      <w:tabs>
        <w:tab w:val="center" w:pos="4320"/>
        <w:tab w:val="right" w:pos="8640"/>
      </w:tabs>
      <w:overflowPunct/>
      <w:autoSpaceDE/>
      <w:autoSpaceDN/>
      <w:adjustRightInd/>
      <w:jc w:val="center"/>
      <w:textAlignment w:val="auto"/>
      <w:rPr>
        <w:sz w:val="18"/>
        <w:szCs w:val="18"/>
      </w:rPr>
    </w:pPr>
    <w:r w:rsidRPr="00227294">
      <w:rPr>
        <w:i/>
        <w:snapToGrid w:val="0"/>
        <w:sz w:val="18"/>
        <w:szCs w:val="18"/>
      </w:rPr>
      <w:t>This is a courtesy copy of this rule.  All of the Department’s rules</w:t>
    </w:r>
    <w:r w:rsidR="00227294" w:rsidRPr="00227294">
      <w:rPr>
        <w:i/>
        <w:snapToGrid w:val="0"/>
        <w:sz w:val="18"/>
        <w:szCs w:val="18"/>
      </w:rPr>
      <w:t xml:space="preserve"> </w:t>
    </w:r>
    <w:r w:rsidRPr="00227294">
      <w:rPr>
        <w:i/>
        <w:snapToGrid w:val="0"/>
        <w:sz w:val="18"/>
        <w:szCs w:val="18"/>
      </w:rPr>
      <w:t>are compiled in Title 7 of the New Jersey Administrative Code.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E5"/>
    <w:rsid w:val="00027E83"/>
    <w:rsid w:val="000360D3"/>
    <w:rsid w:val="000D11BB"/>
    <w:rsid w:val="000E74A6"/>
    <w:rsid w:val="00107262"/>
    <w:rsid w:val="00163092"/>
    <w:rsid w:val="001C47B5"/>
    <w:rsid w:val="00225D61"/>
    <w:rsid w:val="00227294"/>
    <w:rsid w:val="002C2C05"/>
    <w:rsid w:val="002C72E5"/>
    <w:rsid w:val="003660EE"/>
    <w:rsid w:val="004B17D5"/>
    <w:rsid w:val="004E78EC"/>
    <w:rsid w:val="00501153"/>
    <w:rsid w:val="00553A08"/>
    <w:rsid w:val="005A465A"/>
    <w:rsid w:val="005D7B8E"/>
    <w:rsid w:val="00662186"/>
    <w:rsid w:val="007A4FB7"/>
    <w:rsid w:val="007E2CA6"/>
    <w:rsid w:val="0084188C"/>
    <w:rsid w:val="00865859"/>
    <w:rsid w:val="00867249"/>
    <w:rsid w:val="008C279B"/>
    <w:rsid w:val="008C5805"/>
    <w:rsid w:val="00913DFF"/>
    <w:rsid w:val="009F6309"/>
    <w:rsid w:val="00A3736F"/>
    <w:rsid w:val="00AA28BE"/>
    <w:rsid w:val="00B90E2B"/>
    <w:rsid w:val="00B94666"/>
    <w:rsid w:val="00BA2B1A"/>
    <w:rsid w:val="00C75FCA"/>
    <w:rsid w:val="00C93B52"/>
    <w:rsid w:val="00D4565E"/>
    <w:rsid w:val="00D93A27"/>
    <w:rsid w:val="00D94249"/>
    <w:rsid w:val="00E05C1D"/>
    <w:rsid w:val="00E05D58"/>
    <w:rsid w:val="00F04AA8"/>
    <w:rsid w:val="00F818E5"/>
    <w:rsid w:val="00FF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3CF6BD-5AF1-4EEF-82FD-D5C69AFB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1">
    <w:name w:val="heading 1"/>
    <w:basedOn w:val="Normal"/>
    <w:next w:val="Normal"/>
    <w:link w:val="Heading1Char"/>
    <w:uiPriority w:val="99"/>
    <w:qFormat/>
    <w:pPr>
      <w:keepNext/>
      <w:spacing w:before="240" w:after="60"/>
      <w:outlineLvl w:val="0"/>
    </w:pPr>
    <w:rPr>
      <w:rFonts w:ascii="Arial" w:hAnsi="Arial"/>
      <w:b/>
      <w:kern w:val="32"/>
      <w:sz w:val="32"/>
    </w:rPr>
  </w:style>
  <w:style w:type="paragraph" w:styleId="Heading2">
    <w:name w:val="heading 2"/>
    <w:basedOn w:val="Normal"/>
    <w:next w:val="Normal"/>
    <w:link w:val="Heading2Char"/>
    <w:uiPriority w:val="99"/>
    <w:qFormat/>
    <w:rsid w:val="00163092"/>
    <w:pPr>
      <w:keepNext/>
      <w:spacing w:before="240" w:after="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paragraph" w:styleId="BalloonText">
    <w:name w:val="Balloon Text"/>
    <w:basedOn w:val="Normal"/>
    <w:link w:val="BalloonTextChar"/>
    <w:uiPriority w:val="99"/>
    <w:rPr>
      <w:rFonts w:ascii="Tahoma" w:hAnsi="Tahoma"/>
      <w:sz w:val="16"/>
    </w:rPr>
  </w:style>
  <w:style w:type="character" w:customStyle="1" w:styleId="BalloonTextChar">
    <w:name w:val="Balloon Text Char"/>
    <w:link w:val="BalloonText"/>
    <w:uiPriority w:val="99"/>
    <w:semiHidden/>
    <w:locked/>
    <w:rPr>
      <w:rFonts w:ascii="Segoe UI" w:hAnsi="Segoe UI" w:cs="Segoe UI"/>
      <w:sz w:val="18"/>
      <w:szCs w:val="18"/>
    </w:rPr>
  </w:style>
  <w:style w:type="character" w:styleId="FootnoteReference">
    <w:name w:val="footnote reference"/>
    <w:uiPriority w:val="99"/>
    <w:semiHidden/>
    <w:rPr>
      <w:rFonts w:cs="Times New Roman"/>
    </w:rPr>
  </w:style>
  <w:style w:type="paragraph" w:styleId="TOC1">
    <w:name w:val="toc 1"/>
    <w:basedOn w:val="Normal"/>
    <w:next w:val="Normal"/>
    <w:uiPriority w:val="39"/>
    <w:rsid w:val="00163092"/>
    <w:pPr>
      <w:ind w:left="720" w:hanging="720"/>
    </w:pPr>
  </w:style>
  <w:style w:type="character" w:customStyle="1" w:styleId="Hypertext">
    <w:name w:val="Hypertext"/>
    <w:uiPriority w:val="99"/>
    <w:rPr>
      <w:color w:val="0000FF"/>
      <w:u w:val="single"/>
    </w:rPr>
  </w:style>
  <w:style w:type="paragraph" w:customStyle="1" w:styleId="Section">
    <w:name w:val="Section"/>
    <w:basedOn w:val="Normal"/>
    <w:uiPriority w:val="99"/>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rsid w:val="00163092"/>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Note: Allan created this Sub 4 version on 3/30/09 by combining existing sub 4 with electronic proposal and adoption as sent to OAL</vt:lpstr>
    </vt:vector>
  </TitlesOfParts>
  <Company>NJDEP</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Allan created this Sub 4 version on 3/30/09 by combining existing sub 4 with electronic proposal and adoption as sent to OAL</dc:title>
  <dc:subject/>
  <dc:creator>foobar</dc:creator>
  <cp:keywords/>
  <dc:description/>
  <cp:lastModifiedBy>Wong, Danny</cp:lastModifiedBy>
  <cp:revision>2</cp:revision>
  <dcterms:created xsi:type="dcterms:W3CDTF">2017-08-30T15:27:00Z</dcterms:created>
  <dcterms:modified xsi:type="dcterms:W3CDTF">2017-08-30T15:27:00Z</dcterms:modified>
</cp:coreProperties>
</file>