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86" w:rsidRPr="000B202B" w:rsidRDefault="00443786" w:rsidP="00CD4C7C">
      <w:pPr>
        <w:jc w:val="center"/>
        <w:rPr>
          <w:szCs w:val="24"/>
        </w:rPr>
      </w:pPr>
      <w:r w:rsidRPr="000B202B">
        <w:rPr>
          <w:szCs w:val="24"/>
        </w:rPr>
        <w:t>NEW JERSEY STATE DEPARTMENT OF ENVIRONMENTAL PROTECTION</w:t>
      </w:r>
    </w:p>
    <w:p w:rsidR="00443786" w:rsidRPr="000B202B" w:rsidRDefault="00443786" w:rsidP="00CD4C7C">
      <w:pPr>
        <w:widowControl/>
        <w:jc w:val="center"/>
        <w:outlineLvl w:val="0"/>
        <w:rPr>
          <w:szCs w:val="24"/>
        </w:rPr>
      </w:pPr>
      <w:r w:rsidRPr="000B202B">
        <w:rPr>
          <w:szCs w:val="24"/>
        </w:rPr>
        <w:t>NEW JERSEY ADMINISTRATIVE CODE</w:t>
      </w:r>
    </w:p>
    <w:p w:rsidR="00CD4C7C" w:rsidRDefault="00443786" w:rsidP="00CD4C7C">
      <w:pPr>
        <w:widowControl/>
        <w:jc w:val="center"/>
        <w:outlineLvl w:val="0"/>
        <w:rPr>
          <w:szCs w:val="24"/>
        </w:rPr>
      </w:pPr>
      <w:r w:rsidRPr="000B202B">
        <w:rPr>
          <w:szCs w:val="24"/>
        </w:rPr>
        <w:t>TITLE 7</w:t>
      </w:r>
    </w:p>
    <w:p w:rsidR="00443786" w:rsidRPr="000B202B" w:rsidRDefault="00443786" w:rsidP="00CD4C7C">
      <w:pPr>
        <w:widowControl/>
        <w:jc w:val="center"/>
        <w:outlineLvl w:val="0"/>
        <w:rPr>
          <w:szCs w:val="24"/>
        </w:rPr>
      </w:pPr>
      <w:r w:rsidRPr="000B202B">
        <w:rPr>
          <w:szCs w:val="24"/>
        </w:rPr>
        <w:t>CHAPTER 27</w:t>
      </w:r>
    </w:p>
    <w:p w:rsidR="00443786" w:rsidRPr="000B202B" w:rsidRDefault="00443786" w:rsidP="00CD4C7C">
      <w:pPr>
        <w:widowControl/>
        <w:jc w:val="center"/>
        <w:outlineLvl w:val="0"/>
        <w:rPr>
          <w:szCs w:val="24"/>
        </w:rPr>
      </w:pPr>
      <w:r w:rsidRPr="000B202B">
        <w:rPr>
          <w:szCs w:val="24"/>
        </w:rPr>
        <w:t>SUBCHAPTER 10</w:t>
      </w:r>
    </w:p>
    <w:p w:rsidR="00443786" w:rsidRPr="000B202B" w:rsidRDefault="00443786" w:rsidP="00CD4C7C">
      <w:pPr>
        <w:widowControl/>
        <w:jc w:val="center"/>
        <w:outlineLvl w:val="0"/>
        <w:rPr>
          <w:szCs w:val="24"/>
        </w:rPr>
      </w:pPr>
    </w:p>
    <w:p w:rsidR="00443786" w:rsidRPr="000B202B" w:rsidRDefault="00CD4C7C" w:rsidP="00CD4C7C">
      <w:pPr>
        <w:widowControl/>
        <w:jc w:val="center"/>
        <w:rPr>
          <w:b/>
          <w:szCs w:val="24"/>
        </w:rPr>
      </w:pPr>
      <w:r w:rsidRPr="000B202B">
        <w:rPr>
          <w:b/>
          <w:szCs w:val="24"/>
        </w:rPr>
        <w:t>Sulfur in Solid Fuels</w:t>
      </w:r>
    </w:p>
    <w:p w:rsidR="00443786" w:rsidRPr="000B202B" w:rsidRDefault="00443786" w:rsidP="00CD4C7C">
      <w:pPr>
        <w:widowControl/>
        <w:jc w:val="center"/>
        <w:rPr>
          <w:szCs w:val="24"/>
        </w:rPr>
      </w:pPr>
    </w:p>
    <w:p w:rsidR="00443786" w:rsidRPr="000B202B" w:rsidRDefault="00443786" w:rsidP="00CD4C7C">
      <w:pPr>
        <w:widowControl/>
        <w:jc w:val="center"/>
        <w:outlineLvl w:val="0"/>
        <w:rPr>
          <w:szCs w:val="24"/>
        </w:rPr>
      </w:pPr>
      <w:r w:rsidRPr="000B202B">
        <w:rPr>
          <w:szCs w:val="24"/>
        </w:rPr>
        <w:t>TABLE OF CONTENTS</w:t>
      </w:r>
    </w:p>
    <w:p w:rsidR="000B75BE" w:rsidRDefault="000B75BE" w:rsidP="0060455B">
      <w:pPr>
        <w:rPr>
          <w:szCs w:val="24"/>
        </w:rPr>
      </w:pPr>
    </w:p>
    <w:p w:rsidR="009F66DE" w:rsidRPr="009F66DE" w:rsidRDefault="009F66DE" w:rsidP="0060455B">
      <w:pPr>
        <w:rPr>
          <w:szCs w:val="24"/>
        </w:rPr>
      </w:pPr>
      <w:r w:rsidRPr="0084188C">
        <w:rPr>
          <w:b/>
          <w:u w:val="single"/>
        </w:rPr>
        <w:t>Section</w:t>
      </w:r>
      <w:r>
        <w:tab/>
      </w:r>
      <w:r>
        <w:tab/>
      </w:r>
      <w:r>
        <w:tab/>
      </w:r>
      <w:r>
        <w:tab/>
      </w:r>
      <w:r>
        <w:tab/>
      </w:r>
      <w:r>
        <w:tab/>
      </w:r>
      <w:r>
        <w:tab/>
      </w:r>
      <w:r>
        <w:tab/>
      </w:r>
      <w:r>
        <w:tab/>
      </w:r>
      <w:r>
        <w:tab/>
        <w:t xml:space="preserve">   </w:t>
      </w:r>
      <w:r w:rsidRPr="009F66DE">
        <w:rPr>
          <w:b/>
          <w:u w:val="single"/>
        </w:rPr>
        <w:t>Page</w:t>
      </w:r>
    </w:p>
    <w:p w:rsidR="000C0D72" w:rsidRPr="000B202B" w:rsidRDefault="000C0D72" w:rsidP="0060455B">
      <w:pPr>
        <w:pStyle w:val="TOC1"/>
        <w:tabs>
          <w:tab w:val="right" w:leader="dot" w:pos="8630"/>
        </w:tabs>
        <w:rPr>
          <w:noProof/>
          <w:snapToGrid/>
          <w:szCs w:val="24"/>
        </w:rPr>
      </w:pPr>
      <w:r w:rsidRPr="000B202B">
        <w:rPr>
          <w:bCs/>
          <w:szCs w:val="24"/>
        </w:rPr>
        <w:fldChar w:fldCharType="begin"/>
      </w:r>
      <w:r w:rsidRPr="000B202B">
        <w:rPr>
          <w:bCs/>
          <w:szCs w:val="24"/>
        </w:rPr>
        <w:instrText xml:space="preserve"> TOC \f \h \z </w:instrText>
      </w:r>
      <w:r w:rsidRPr="000B202B">
        <w:rPr>
          <w:bCs/>
          <w:szCs w:val="24"/>
        </w:rPr>
        <w:fldChar w:fldCharType="separate"/>
      </w:r>
      <w:hyperlink w:anchor="_Toc229458219" w:history="1">
        <w:r w:rsidRPr="000B202B">
          <w:rPr>
            <w:rStyle w:val="Hyperlink"/>
            <w:noProof/>
            <w:szCs w:val="24"/>
          </w:rPr>
          <w:t>REGULATORY HISTORY</w:t>
        </w:r>
        <w:r w:rsidRPr="000B202B">
          <w:rPr>
            <w:noProof/>
            <w:webHidden/>
            <w:szCs w:val="24"/>
          </w:rPr>
          <w:tab/>
        </w:r>
        <w:r w:rsidRPr="000B202B">
          <w:rPr>
            <w:noProof/>
            <w:webHidden/>
            <w:szCs w:val="24"/>
          </w:rPr>
          <w:fldChar w:fldCharType="begin"/>
        </w:r>
        <w:r w:rsidRPr="000B202B">
          <w:rPr>
            <w:noProof/>
            <w:webHidden/>
            <w:szCs w:val="24"/>
          </w:rPr>
          <w:instrText xml:space="preserve"> PAGEREF _Toc229458219 \h </w:instrText>
        </w:r>
        <w:r w:rsidRPr="000B202B">
          <w:rPr>
            <w:noProof/>
            <w:webHidden/>
            <w:szCs w:val="24"/>
          </w:rPr>
        </w:r>
        <w:r w:rsidRPr="000B202B">
          <w:rPr>
            <w:noProof/>
            <w:webHidden/>
            <w:szCs w:val="24"/>
          </w:rPr>
          <w:fldChar w:fldCharType="separate"/>
        </w:r>
        <w:r w:rsidR="00CD4C7C">
          <w:rPr>
            <w:noProof/>
            <w:webHidden/>
            <w:szCs w:val="24"/>
          </w:rPr>
          <w:t>2</w:t>
        </w:r>
        <w:r w:rsidRPr="000B202B">
          <w:rPr>
            <w:noProof/>
            <w:webHidden/>
            <w:szCs w:val="24"/>
          </w:rPr>
          <w:fldChar w:fldCharType="end"/>
        </w:r>
      </w:hyperlink>
    </w:p>
    <w:p w:rsidR="000C0D72" w:rsidRPr="000B202B" w:rsidRDefault="00091C1A" w:rsidP="0060455B">
      <w:pPr>
        <w:pStyle w:val="TOC1"/>
        <w:tabs>
          <w:tab w:val="left" w:pos="1200"/>
          <w:tab w:val="right" w:leader="dot" w:pos="8630"/>
        </w:tabs>
        <w:rPr>
          <w:noProof/>
          <w:snapToGrid/>
          <w:szCs w:val="24"/>
        </w:rPr>
      </w:pPr>
      <w:hyperlink w:anchor="_Toc229458220" w:history="1">
        <w:r w:rsidR="000C0D72" w:rsidRPr="000B202B">
          <w:rPr>
            <w:rStyle w:val="Hyperlink"/>
            <w:noProof/>
            <w:szCs w:val="24"/>
          </w:rPr>
          <w:t>7:27-10.1</w:t>
        </w:r>
        <w:r w:rsidR="000C0D72" w:rsidRPr="000B202B">
          <w:rPr>
            <w:noProof/>
            <w:snapToGrid/>
            <w:szCs w:val="24"/>
          </w:rPr>
          <w:tab/>
        </w:r>
        <w:r w:rsidR="000C0D72" w:rsidRPr="000B202B">
          <w:rPr>
            <w:rStyle w:val="Hyperlink"/>
            <w:noProof/>
            <w:szCs w:val="24"/>
          </w:rPr>
          <w:t>Definitions</w:t>
        </w:r>
        <w:r w:rsidR="000C0D72" w:rsidRPr="000B202B">
          <w:rPr>
            <w:noProof/>
            <w:webHidden/>
            <w:szCs w:val="24"/>
          </w:rPr>
          <w:tab/>
        </w:r>
        <w:r w:rsidR="000C0D72" w:rsidRPr="000B202B">
          <w:rPr>
            <w:noProof/>
            <w:webHidden/>
            <w:szCs w:val="24"/>
          </w:rPr>
          <w:fldChar w:fldCharType="begin"/>
        </w:r>
        <w:r w:rsidR="000C0D72" w:rsidRPr="000B202B">
          <w:rPr>
            <w:noProof/>
            <w:webHidden/>
            <w:szCs w:val="24"/>
          </w:rPr>
          <w:instrText xml:space="preserve"> PAGEREF _Toc229458220 \h </w:instrText>
        </w:r>
        <w:r w:rsidR="000C0D72" w:rsidRPr="000B202B">
          <w:rPr>
            <w:noProof/>
            <w:webHidden/>
            <w:szCs w:val="24"/>
          </w:rPr>
        </w:r>
        <w:r w:rsidR="000C0D72" w:rsidRPr="000B202B">
          <w:rPr>
            <w:noProof/>
            <w:webHidden/>
            <w:szCs w:val="24"/>
          </w:rPr>
          <w:fldChar w:fldCharType="separate"/>
        </w:r>
        <w:r w:rsidR="00CD4C7C">
          <w:rPr>
            <w:noProof/>
            <w:webHidden/>
            <w:szCs w:val="24"/>
          </w:rPr>
          <w:t>3</w:t>
        </w:r>
        <w:r w:rsidR="000C0D72" w:rsidRPr="000B202B">
          <w:rPr>
            <w:noProof/>
            <w:webHidden/>
            <w:szCs w:val="24"/>
          </w:rPr>
          <w:fldChar w:fldCharType="end"/>
        </w:r>
      </w:hyperlink>
    </w:p>
    <w:p w:rsidR="000C0D72" w:rsidRPr="000B202B" w:rsidRDefault="00091C1A" w:rsidP="0060455B">
      <w:pPr>
        <w:pStyle w:val="TOC1"/>
        <w:tabs>
          <w:tab w:val="left" w:pos="1200"/>
          <w:tab w:val="right" w:leader="dot" w:pos="8630"/>
        </w:tabs>
        <w:rPr>
          <w:noProof/>
          <w:snapToGrid/>
          <w:szCs w:val="24"/>
        </w:rPr>
      </w:pPr>
      <w:hyperlink w:anchor="_Toc229458221" w:history="1">
        <w:r w:rsidR="000C0D72" w:rsidRPr="000B202B">
          <w:rPr>
            <w:rStyle w:val="Hyperlink"/>
            <w:noProof/>
            <w:szCs w:val="24"/>
          </w:rPr>
          <w:t>7:27-10.2</w:t>
        </w:r>
        <w:r w:rsidR="000C0D72" w:rsidRPr="000B202B">
          <w:rPr>
            <w:noProof/>
            <w:snapToGrid/>
            <w:szCs w:val="24"/>
          </w:rPr>
          <w:tab/>
        </w:r>
        <w:r w:rsidR="000C0D72" w:rsidRPr="000B202B">
          <w:rPr>
            <w:rStyle w:val="Hyperlink"/>
            <w:noProof/>
            <w:szCs w:val="24"/>
          </w:rPr>
          <w:t>Sulfur contents standards</w:t>
        </w:r>
        <w:r w:rsidR="000C0D72" w:rsidRPr="000B202B">
          <w:rPr>
            <w:noProof/>
            <w:webHidden/>
            <w:szCs w:val="24"/>
          </w:rPr>
          <w:tab/>
        </w:r>
        <w:r w:rsidR="000C0D72" w:rsidRPr="000B202B">
          <w:rPr>
            <w:noProof/>
            <w:webHidden/>
            <w:szCs w:val="24"/>
          </w:rPr>
          <w:fldChar w:fldCharType="begin"/>
        </w:r>
        <w:r w:rsidR="000C0D72" w:rsidRPr="000B202B">
          <w:rPr>
            <w:noProof/>
            <w:webHidden/>
            <w:szCs w:val="24"/>
          </w:rPr>
          <w:instrText xml:space="preserve"> PAGEREF _Toc229458221 \h </w:instrText>
        </w:r>
        <w:r w:rsidR="000C0D72" w:rsidRPr="000B202B">
          <w:rPr>
            <w:noProof/>
            <w:webHidden/>
            <w:szCs w:val="24"/>
          </w:rPr>
        </w:r>
        <w:r w:rsidR="000C0D72" w:rsidRPr="000B202B">
          <w:rPr>
            <w:noProof/>
            <w:webHidden/>
            <w:szCs w:val="24"/>
          </w:rPr>
          <w:fldChar w:fldCharType="separate"/>
        </w:r>
        <w:r w:rsidR="00CD4C7C">
          <w:rPr>
            <w:noProof/>
            <w:webHidden/>
            <w:szCs w:val="24"/>
          </w:rPr>
          <w:t>4</w:t>
        </w:r>
        <w:r w:rsidR="000C0D72" w:rsidRPr="000B202B">
          <w:rPr>
            <w:noProof/>
            <w:webHidden/>
            <w:szCs w:val="24"/>
          </w:rPr>
          <w:fldChar w:fldCharType="end"/>
        </w:r>
      </w:hyperlink>
    </w:p>
    <w:p w:rsidR="000C0D72" w:rsidRPr="000B202B" w:rsidRDefault="00091C1A" w:rsidP="0060455B">
      <w:pPr>
        <w:pStyle w:val="TOC1"/>
        <w:tabs>
          <w:tab w:val="left" w:pos="1200"/>
          <w:tab w:val="right" w:leader="dot" w:pos="8630"/>
        </w:tabs>
        <w:rPr>
          <w:noProof/>
          <w:snapToGrid/>
          <w:szCs w:val="24"/>
        </w:rPr>
      </w:pPr>
      <w:hyperlink w:anchor="_Toc229458222" w:history="1">
        <w:r w:rsidR="000C0D72" w:rsidRPr="000B202B">
          <w:rPr>
            <w:rStyle w:val="Hyperlink"/>
            <w:noProof/>
            <w:szCs w:val="24"/>
          </w:rPr>
          <w:t>7:27-10.3</w:t>
        </w:r>
        <w:r w:rsidR="000C0D72" w:rsidRPr="000B202B">
          <w:rPr>
            <w:noProof/>
            <w:snapToGrid/>
            <w:szCs w:val="24"/>
          </w:rPr>
          <w:tab/>
        </w:r>
        <w:r w:rsidR="000C0D72" w:rsidRPr="000B202B">
          <w:rPr>
            <w:rStyle w:val="Hyperlink"/>
            <w:noProof/>
            <w:szCs w:val="24"/>
          </w:rPr>
          <w:t>Expansion, reconstruction or construction of solid fuel burning units</w:t>
        </w:r>
        <w:r w:rsidR="000C0D72" w:rsidRPr="000B202B">
          <w:rPr>
            <w:noProof/>
            <w:webHidden/>
            <w:szCs w:val="24"/>
          </w:rPr>
          <w:tab/>
        </w:r>
        <w:r w:rsidR="000C0D72" w:rsidRPr="000B202B">
          <w:rPr>
            <w:noProof/>
            <w:webHidden/>
            <w:szCs w:val="24"/>
          </w:rPr>
          <w:fldChar w:fldCharType="begin"/>
        </w:r>
        <w:r w:rsidR="000C0D72" w:rsidRPr="000B202B">
          <w:rPr>
            <w:noProof/>
            <w:webHidden/>
            <w:szCs w:val="24"/>
          </w:rPr>
          <w:instrText xml:space="preserve"> PAGEREF _Toc229458222 \h </w:instrText>
        </w:r>
        <w:r w:rsidR="000C0D72" w:rsidRPr="000B202B">
          <w:rPr>
            <w:noProof/>
            <w:webHidden/>
            <w:szCs w:val="24"/>
          </w:rPr>
        </w:r>
        <w:r w:rsidR="000C0D72" w:rsidRPr="000B202B">
          <w:rPr>
            <w:noProof/>
            <w:webHidden/>
            <w:szCs w:val="24"/>
          </w:rPr>
          <w:fldChar w:fldCharType="separate"/>
        </w:r>
        <w:r w:rsidR="00CD4C7C">
          <w:rPr>
            <w:noProof/>
            <w:webHidden/>
            <w:szCs w:val="24"/>
          </w:rPr>
          <w:t>7</w:t>
        </w:r>
        <w:r w:rsidR="000C0D72" w:rsidRPr="000B202B">
          <w:rPr>
            <w:noProof/>
            <w:webHidden/>
            <w:szCs w:val="24"/>
          </w:rPr>
          <w:fldChar w:fldCharType="end"/>
        </w:r>
      </w:hyperlink>
    </w:p>
    <w:p w:rsidR="000C0D72" w:rsidRPr="000B202B" w:rsidRDefault="00091C1A" w:rsidP="0060455B">
      <w:pPr>
        <w:pStyle w:val="TOC1"/>
        <w:tabs>
          <w:tab w:val="left" w:pos="1200"/>
          <w:tab w:val="right" w:leader="dot" w:pos="8630"/>
        </w:tabs>
        <w:rPr>
          <w:noProof/>
          <w:snapToGrid/>
          <w:szCs w:val="24"/>
        </w:rPr>
      </w:pPr>
      <w:hyperlink w:anchor="_Toc229458223" w:history="1">
        <w:r w:rsidR="000C0D72" w:rsidRPr="000B202B">
          <w:rPr>
            <w:rStyle w:val="Hyperlink"/>
            <w:noProof/>
            <w:szCs w:val="24"/>
          </w:rPr>
          <w:t>7:27-10.4</w:t>
        </w:r>
        <w:r w:rsidR="000C0D72" w:rsidRPr="000B202B">
          <w:rPr>
            <w:noProof/>
            <w:snapToGrid/>
            <w:szCs w:val="24"/>
          </w:rPr>
          <w:tab/>
        </w:r>
        <w:r w:rsidR="000C0D72" w:rsidRPr="000B202B">
          <w:rPr>
            <w:rStyle w:val="Hyperlink"/>
            <w:noProof/>
            <w:szCs w:val="24"/>
          </w:rPr>
          <w:t>Exemptions</w:t>
        </w:r>
        <w:r w:rsidR="000C0D72" w:rsidRPr="000B202B">
          <w:rPr>
            <w:noProof/>
            <w:webHidden/>
            <w:szCs w:val="24"/>
          </w:rPr>
          <w:tab/>
        </w:r>
        <w:r w:rsidR="000C0D72" w:rsidRPr="000B202B">
          <w:rPr>
            <w:noProof/>
            <w:webHidden/>
            <w:szCs w:val="24"/>
          </w:rPr>
          <w:fldChar w:fldCharType="begin"/>
        </w:r>
        <w:r w:rsidR="000C0D72" w:rsidRPr="000B202B">
          <w:rPr>
            <w:noProof/>
            <w:webHidden/>
            <w:szCs w:val="24"/>
          </w:rPr>
          <w:instrText xml:space="preserve"> PAGEREF _Toc229458223 \h </w:instrText>
        </w:r>
        <w:r w:rsidR="000C0D72" w:rsidRPr="000B202B">
          <w:rPr>
            <w:noProof/>
            <w:webHidden/>
            <w:szCs w:val="24"/>
          </w:rPr>
        </w:r>
        <w:r w:rsidR="000C0D72" w:rsidRPr="000B202B">
          <w:rPr>
            <w:noProof/>
            <w:webHidden/>
            <w:szCs w:val="24"/>
          </w:rPr>
          <w:fldChar w:fldCharType="separate"/>
        </w:r>
        <w:r w:rsidR="00CD4C7C">
          <w:rPr>
            <w:noProof/>
            <w:webHidden/>
            <w:szCs w:val="24"/>
          </w:rPr>
          <w:t>8</w:t>
        </w:r>
        <w:r w:rsidR="000C0D72" w:rsidRPr="000B202B">
          <w:rPr>
            <w:noProof/>
            <w:webHidden/>
            <w:szCs w:val="24"/>
          </w:rPr>
          <w:fldChar w:fldCharType="end"/>
        </w:r>
      </w:hyperlink>
    </w:p>
    <w:p w:rsidR="000C0D72" w:rsidRPr="000B202B" w:rsidRDefault="00091C1A" w:rsidP="0060455B">
      <w:pPr>
        <w:pStyle w:val="TOC1"/>
        <w:tabs>
          <w:tab w:val="left" w:pos="1200"/>
          <w:tab w:val="right" w:leader="dot" w:pos="8630"/>
        </w:tabs>
        <w:rPr>
          <w:noProof/>
          <w:snapToGrid/>
          <w:szCs w:val="24"/>
        </w:rPr>
      </w:pPr>
      <w:hyperlink w:anchor="_Toc229458224" w:history="1">
        <w:r w:rsidR="000C0D72" w:rsidRPr="000B202B">
          <w:rPr>
            <w:rStyle w:val="Hyperlink"/>
            <w:noProof/>
            <w:szCs w:val="24"/>
          </w:rPr>
          <w:t>7:27-10.5</w:t>
        </w:r>
        <w:r w:rsidR="000C0D72" w:rsidRPr="000B202B">
          <w:rPr>
            <w:noProof/>
            <w:snapToGrid/>
            <w:szCs w:val="24"/>
          </w:rPr>
          <w:tab/>
        </w:r>
        <w:r w:rsidR="000C0D72" w:rsidRPr="000B202B">
          <w:rPr>
            <w:rStyle w:val="Hyperlink"/>
            <w:noProof/>
            <w:szCs w:val="24"/>
          </w:rPr>
          <w:t>SO</w:t>
        </w:r>
        <w:r w:rsidR="000C0D72" w:rsidRPr="00CD4C7C">
          <w:rPr>
            <w:rStyle w:val="Hyperlink"/>
            <w:noProof/>
            <w:szCs w:val="24"/>
            <w:vertAlign w:val="subscript"/>
          </w:rPr>
          <w:t>2</w:t>
        </w:r>
        <w:r w:rsidR="000C0D72" w:rsidRPr="000B202B">
          <w:rPr>
            <w:rStyle w:val="Hyperlink"/>
            <w:noProof/>
            <w:szCs w:val="24"/>
          </w:rPr>
          <w:t xml:space="preserve"> emission rate determinations</w:t>
        </w:r>
        <w:r w:rsidR="000C0D72" w:rsidRPr="000B202B">
          <w:rPr>
            <w:noProof/>
            <w:webHidden/>
            <w:szCs w:val="24"/>
          </w:rPr>
          <w:tab/>
        </w:r>
        <w:r w:rsidR="000C0D72" w:rsidRPr="000B202B">
          <w:rPr>
            <w:noProof/>
            <w:webHidden/>
            <w:szCs w:val="24"/>
          </w:rPr>
          <w:fldChar w:fldCharType="begin"/>
        </w:r>
        <w:r w:rsidR="000C0D72" w:rsidRPr="000B202B">
          <w:rPr>
            <w:noProof/>
            <w:webHidden/>
            <w:szCs w:val="24"/>
          </w:rPr>
          <w:instrText xml:space="preserve"> PAGEREF _Toc229458224 \h </w:instrText>
        </w:r>
        <w:r w:rsidR="000C0D72" w:rsidRPr="000B202B">
          <w:rPr>
            <w:noProof/>
            <w:webHidden/>
            <w:szCs w:val="24"/>
          </w:rPr>
        </w:r>
        <w:r w:rsidR="000C0D72" w:rsidRPr="000B202B">
          <w:rPr>
            <w:noProof/>
            <w:webHidden/>
            <w:szCs w:val="24"/>
          </w:rPr>
          <w:fldChar w:fldCharType="separate"/>
        </w:r>
        <w:r w:rsidR="00CD4C7C">
          <w:rPr>
            <w:noProof/>
            <w:webHidden/>
            <w:szCs w:val="24"/>
          </w:rPr>
          <w:t>8</w:t>
        </w:r>
        <w:r w:rsidR="000C0D72" w:rsidRPr="000B202B">
          <w:rPr>
            <w:noProof/>
            <w:webHidden/>
            <w:szCs w:val="24"/>
          </w:rPr>
          <w:fldChar w:fldCharType="end"/>
        </w:r>
      </w:hyperlink>
    </w:p>
    <w:p w:rsidR="00CD4C7C" w:rsidRDefault="000C0D72" w:rsidP="00CD4C7C">
      <w:pPr>
        <w:pStyle w:val="TOC2"/>
        <w:tabs>
          <w:tab w:val="clear" w:pos="1440"/>
        </w:tabs>
      </w:pPr>
      <w:r w:rsidRPr="000B202B">
        <w:fldChar w:fldCharType="end"/>
      </w:r>
      <w:bookmarkStart w:id="0" w:name="_Toc136834456"/>
    </w:p>
    <w:p w:rsidR="00CD4C7C" w:rsidRDefault="00CD4C7C" w:rsidP="00CD4C7C">
      <w:pPr>
        <w:pStyle w:val="TOC2"/>
        <w:tabs>
          <w:tab w:val="clear" w:pos="1440"/>
        </w:tabs>
        <w:ind w:left="0"/>
        <w:jc w:val="left"/>
      </w:pPr>
    </w:p>
    <w:p w:rsidR="00CD4C7C" w:rsidRPr="00CD4C7C" w:rsidRDefault="00CD4C7C" w:rsidP="00CD4C7C"/>
    <w:p w:rsidR="00CD4C7C" w:rsidRDefault="00CD4C7C" w:rsidP="00CD4C7C">
      <w:pPr>
        <w:pStyle w:val="TOC2"/>
        <w:tabs>
          <w:tab w:val="clear" w:pos="1440"/>
        </w:tabs>
        <w:ind w:left="0"/>
        <w:jc w:val="left"/>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CD4C7C" w:rsidRDefault="00CD4C7C" w:rsidP="00CD4C7C">
      <w:pPr>
        <w:pStyle w:val="TOC2"/>
        <w:tabs>
          <w:tab w:val="clear" w:pos="1440"/>
        </w:tabs>
        <w:ind w:left="0"/>
        <w:jc w:val="left"/>
      </w:pPr>
    </w:p>
    <w:p w:rsidR="000C0D72" w:rsidRPr="000B202B" w:rsidRDefault="000C0D72" w:rsidP="00CD4C7C">
      <w:pPr>
        <w:pStyle w:val="TOC2"/>
        <w:tabs>
          <w:tab w:val="clear" w:pos="1440"/>
        </w:tabs>
        <w:ind w:left="0"/>
        <w:jc w:val="left"/>
      </w:pPr>
      <w:r w:rsidRPr="000B202B">
        <w:fldChar w:fldCharType="begin"/>
      </w:r>
      <w:r w:rsidRPr="000B202B">
        <w:instrText xml:space="preserve"> TOC \o "1-3" \h \z </w:instrText>
      </w:r>
      <w:r w:rsidRPr="000B202B">
        <w:fldChar w:fldCharType="end"/>
      </w:r>
      <w:bookmarkStart w:id="1" w:name="_Toc229458278"/>
    </w:p>
    <w:p w:rsidR="00D06EC6" w:rsidRPr="00CD4C7C" w:rsidRDefault="00CD4C7C" w:rsidP="00CD4C7C">
      <w:pPr>
        <w:pStyle w:val="TOC2"/>
        <w:tabs>
          <w:tab w:val="clear" w:pos="1440"/>
        </w:tabs>
      </w:pPr>
      <w:r>
        <w:br w:type="page"/>
      </w:r>
      <w:r w:rsidR="00D06EC6" w:rsidRPr="00CD4C7C">
        <w:lastRenderedPageBreak/>
        <w:t>REGULATORY HISTORY</w:t>
      </w:r>
      <w:bookmarkEnd w:id="0"/>
      <w:bookmarkEnd w:id="1"/>
      <w:r w:rsidR="000C0D72" w:rsidRPr="00CD4C7C">
        <w:fldChar w:fldCharType="begin"/>
      </w:r>
      <w:r w:rsidR="000C0D72" w:rsidRPr="00CD4C7C">
        <w:instrText xml:space="preserve"> TC "</w:instrText>
      </w:r>
      <w:bookmarkStart w:id="2" w:name="_Toc229458219"/>
      <w:r w:rsidR="000C0D72" w:rsidRPr="00CD4C7C">
        <w:instrText>REGULATORY HISTORY</w:instrText>
      </w:r>
      <w:bookmarkEnd w:id="2"/>
      <w:r w:rsidR="000C0D72" w:rsidRPr="00CD4C7C">
        <w:instrText xml:space="preserve">" \f C \l "1" </w:instrText>
      </w:r>
      <w:r w:rsidR="000C0D72" w:rsidRPr="00CD4C7C">
        <w:fldChar w:fldCharType="end"/>
      </w:r>
    </w:p>
    <w:p w:rsidR="006D1F7D" w:rsidRPr="000B202B" w:rsidRDefault="006D1F7D" w:rsidP="0060455B">
      <w:pPr>
        <w:rPr>
          <w:szCs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D06EC6" w:rsidRPr="000B202B" w:rsidTr="00D06EC6">
        <w:tc>
          <w:tcPr>
            <w:tcW w:w="2340" w:type="dxa"/>
            <w:tcBorders>
              <w:top w:val="single" w:sz="6" w:space="0" w:color="FFFFFF"/>
              <w:left w:val="single" w:sz="6" w:space="0" w:color="FFFFFF"/>
              <w:bottom w:val="single" w:sz="7" w:space="0" w:color="000000"/>
              <w:right w:val="single" w:sz="6" w:space="0" w:color="FFFFFF"/>
            </w:tcBorders>
            <w:vAlign w:val="center"/>
          </w:tcPr>
          <w:p w:rsidR="00D06EC6" w:rsidRPr="000B202B" w:rsidRDefault="00D06EC6" w:rsidP="0060455B">
            <w:pPr>
              <w:widowControl/>
              <w:rPr>
                <w:b/>
                <w:szCs w:val="24"/>
              </w:rPr>
            </w:pPr>
            <w:r w:rsidRPr="000B202B">
              <w:rPr>
                <w:b/>
                <w:szCs w:val="24"/>
              </w:rPr>
              <w:t>Regulatory Action</w:t>
            </w:r>
          </w:p>
        </w:tc>
        <w:tc>
          <w:tcPr>
            <w:tcW w:w="2340" w:type="dxa"/>
            <w:tcBorders>
              <w:top w:val="single" w:sz="6" w:space="0" w:color="FFFFFF"/>
              <w:left w:val="single" w:sz="6" w:space="0" w:color="FFFFFF"/>
              <w:bottom w:val="single" w:sz="7" w:space="0" w:color="000000"/>
              <w:right w:val="single" w:sz="6" w:space="0" w:color="FFFFFF"/>
            </w:tcBorders>
            <w:vAlign w:val="center"/>
          </w:tcPr>
          <w:p w:rsidR="00D06EC6" w:rsidRPr="000B202B" w:rsidRDefault="00D06EC6" w:rsidP="0060455B">
            <w:pPr>
              <w:widowControl/>
              <w:rPr>
                <w:b/>
                <w:szCs w:val="24"/>
              </w:rPr>
            </w:pPr>
            <w:r w:rsidRPr="000B202B">
              <w:rPr>
                <w:b/>
                <w:szCs w:val="24"/>
              </w:rPr>
              <w:t>Date Adopted</w:t>
            </w:r>
          </w:p>
        </w:tc>
        <w:tc>
          <w:tcPr>
            <w:tcW w:w="2340" w:type="dxa"/>
            <w:tcBorders>
              <w:top w:val="single" w:sz="6" w:space="0" w:color="FFFFFF"/>
              <w:left w:val="single" w:sz="6" w:space="0" w:color="FFFFFF"/>
              <w:bottom w:val="single" w:sz="7" w:space="0" w:color="000000"/>
              <w:right w:val="single" w:sz="6" w:space="0" w:color="FFFFFF"/>
            </w:tcBorders>
            <w:vAlign w:val="center"/>
          </w:tcPr>
          <w:p w:rsidR="00D06EC6" w:rsidRPr="000B202B" w:rsidRDefault="00D06EC6" w:rsidP="0060455B">
            <w:pPr>
              <w:widowControl/>
              <w:rPr>
                <w:b/>
                <w:szCs w:val="24"/>
              </w:rPr>
            </w:pPr>
            <w:r w:rsidRPr="000B202B">
              <w:rPr>
                <w:b/>
                <w:szCs w:val="24"/>
              </w:rPr>
              <w:t>Effective Date &amp; NJR Citation</w:t>
            </w:r>
          </w:p>
        </w:tc>
        <w:tc>
          <w:tcPr>
            <w:tcW w:w="2340" w:type="dxa"/>
            <w:tcBorders>
              <w:top w:val="single" w:sz="6" w:space="0" w:color="FFFFFF"/>
              <w:left w:val="single" w:sz="6" w:space="0" w:color="FFFFFF"/>
              <w:bottom w:val="single" w:sz="7" w:space="0" w:color="000000"/>
              <w:right w:val="single" w:sz="6" w:space="0" w:color="FFFFFF"/>
            </w:tcBorders>
            <w:vAlign w:val="center"/>
          </w:tcPr>
          <w:p w:rsidR="00D06EC6" w:rsidRPr="000B202B" w:rsidRDefault="00D06EC6" w:rsidP="0060455B">
            <w:pPr>
              <w:widowControl/>
              <w:rPr>
                <w:b/>
                <w:szCs w:val="24"/>
              </w:rPr>
            </w:pPr>
            <w:r w:rsidRPr="000B202B">
              <w:rPr>
                <w:b/>
                <w:szCs w:val="24"/>
              </w:rPr>
              <w:t>Operative Date</w:t>
            </w:r>
          </w:p>
        </w:tc>
      </w:tr>
      <w:tr w:rsidR="00D06EC6" w:rsidRPr="000B202B" w:rsidTr="00CD4C7C">
        <w:trPr>
          <w:trHeight w:val="307"/>
        </w:trPr>
        <w:tc>
          <w:tcPr>
            <w:tcW w:w="2340" w:type="dxa"/>
            <w:tcBorders>
              <w:top w:val="single" w:sz="6" w:space="0" w:color="FFFFFF"/>
              <w:left w:val="single" w:sz="6" w:space="0" w:color="FFFFFF"/>
              <w:bottom w:val="single" w:sz="6" w:space="0" w:color="FFFFFF"/>
              <w:right w:val="single" w:sz="6" w:space="0" w:color="FFFFFF"/>
            </w:tcBorders>
          </w:tcPr>
          <w:p w:rsidR="00D06EC6" w:rsidRPr="000B202B" w:rsidRDefault="00D06EC6" w:rsidP="0060455B">
            <w:pPr>
              <w:widowControl/>
              <w:rPr>
                <w:szCs w:val="24"/>
              </w:rPr>
            </w:pPr>
            <w:r w:rsidRPr="000B202B">
              <w:rPr>
                <w:szCs w:val="24"/>
              </w:rPr>
              <w:t>New Rule</w:t>
            </w:r>
          </w:p>
        </w:tc>
        <w:tc>
          <w:tcPr>
            <w:tcW w:w="2340" w:type="dxa"/>
            <w:tcBorders>
              <w:top w:val="single" w:sz="6" w:space="0" w:color="FFFFFF"/>
              <w:left w:val="single" w:sz="6" w:space="0" w:color="FFFFFF"/>
              <w:bottom w:val="single" w:sz="6" w:space="0" w:color="FFFFFF"/>
              <w:right w:val="single" w:sz="6" w:space="0" w:color="FFFFFF"/>
            </w:tcBorders>
          </w:tcPr>
          <w:p w:rsidR="00D06EC6" w:rsidRPr="000B202B" w:rsidRDefault="00D06EC6" w:rsidP="0060455B">
            <w:pPr>
              <w:rPr>
                <w:szCs w:val="24"/>
              </w:rPr>
            </w:pPr>
          </w:p>
          <w:p w:rsidR="00D06EC6" w:rsidRPr="000B202B" w:rsidRDefault="00D06EC6"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D06EC6" w:rsidRPr="000B202B" w:rsidRDefault="0000725A" w:rsidP="0060455B">
            <w:pPr>
              <w:widowControl/>
              <w:rPr>
                <w:szCs w:val="24"/>
              </w:rPr>
            </w:pPr>
            <w:r w:rsidRPr="000B202B">
              <w:rPr>
                <w:szCs w:val="24"/>
              </w:rPr>
              <w:t>Prior to Sept 1, 1969</w:t>
            </w:r>
          </w:p>
        </w:tc>
        <w:tc>
          <w:tcPr>
            <w:tcW w:w="2340" w:type="dxa"/>
            <w:tcBorders>
              <w:top w:val="single" w:sz="6" w:space="0" w:color="FFFFFF"/>
              <w:left w:val="single" w:sz="6" w:space="0" w:color="FFFFFF"/>
              <w:bottom w:val="single" w:sz="6" w:space="0" w:color="FFFFFF"/>
              <w:right w:val="single" w:sz="6" w:space="0" w:color="FFFFFF"/>
            </w:tcBorders>
          </w:tcPr>
          <w:p w:rsidR="00D06EC6" w:rsidRPr="000B202B" w:rsidRDefault="00D06EC6" w:rsidP="0060455B">
            <w:pPr>
              <w:rPr>
                <w:szCs w:val="24"/>
              </w:rPr>
            </w:pPr>
          </w:p>
          <w:p w:rsidR="00D06EC6" w:rsidRPr="000B202B" w:rsidRDefault="00D06EC6" w:rsidP="0060455B">
            <w:pPr>
              <w:widowControl/>
              <w:rPr>
                <w:szCs w:val="24"/>
              </w:rPr>
            </w:pPr>
          </w:p>
        </w:tc>
      </w:tr>
      <w:tr w:rsidR="0000725A" w:rsidRPr="000B202B" w:rsidTr="00D06EC6">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 xml:space="preserve">Amendment </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September 15, 1978</w:t>
            </w:r>
          </w:p>
          <w:p w:rsidR="0000725A" w:rsidRPr="000B202B" w:rsidRDefault="0000725A" w:rsidP="0060455B">
            <w:pPr>
              <w:widowControl/>
              <w:rPr>
                <w:szCs w:val="24"/>
              </w:rPr>
            </w:pPr>
            <w:r w:rsidRPr="000B202B">
              <w:rPr>
                <w:szCs w:val="24"/>
              </w:rPr>
              <w:t>10 N.J.R. 98(a)</w:t>
            </w:r>
          </w:p>
          <w:p w:rsidR="0000725A" w:rsidRPr="000B202B" w:rsidRDefault="0000725A" w:rsidP="0060455B">
            <w:pPr>
              <w:widowControl/>
              <w:rPr>
                <w:szCs w:val="24"/>
              </w:rPr>
            </w:pPr>
            <w:r w:rsidRPr="000B202B">
              <w:rPr>
                <w:szCs w:val="24"/>
              </w:rPr>
              <w:t>10 N.J.R. 328(b)</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p>
        </w:tc>
      </w:tr>
      <w:tr w:rsidR="0000725A" w:rsidRPr="000B202B" w:rsidTr="00D06EC6">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r>
      <w:tr w:rsidR="0000725A" w:rsidRPr="000B202B" w:rsidTr="00D06EC6">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 xml:space="preserve">Amendment </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p w:rsidR="0000725A" w:rsidRPr="000B202B" w:rsidRDefault="0000725A"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June 4, 1981</w:t>
            </w:r>
          </w:p>
          <w:p w:rsidR="0000725A" w:rsidRPr="000B202B" w:rsidRDefault="0000725A" w:rsidP="0060455B">
            <w:pPr>
              <w:widowControl/>
              <w:rPr>
                <w:szCs w:val="24"/>
              </w:rPr>
            </w:pPr>
            <w:r w:rsidRPr="000B202B">
              <w:rPr>
                <w:szCs w:val="24"/>
              </w:rPr>
              <w:t>12 N.J.R. 571(a)</w:t>
            </w:r>
          </w:p>
          <w:p w:rsidR="0000725A" w:rsidRPr="000B202B" w:rsidRDefault="0000725A" w:rsidP="0060455B">
            <w:pPr>
              <w:widowControl/>
              <w:rPr>
                <w:szCs w:val="24"/>
              </w:rPr>
            </w:pPr>
            <w:r w:rsidRPr="000B202B">
              <w:rPr>
                <w:szCs w:val="24"/>
              </w:rPr>
              <w:t>13 N.J.R. 341(a)</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p>
        </w:tc>
      </w:tr>
      <w:tr w:rsidR="0000725A" w:rsidRPr="000B202B" w:rsidTr="00D06EC6">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rPr>
                <w:szCs w:val="24"/>
              </w:rPr>
            </w:pPr>
          </w:p>
        </w:tc>
      </w:tr>
      <w:tr w:rsidR="0000725A" w:rsidRPr="000B202B" w:rsidTr="008E50A4">
        <w:trPr>
          <w:trHeight w:val="165"/>
        </w:trPr>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 xml:space="preserve">Correction </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Default="0000725A" w:rsidP="0060455B">
            <w:pPr>
              <w:widowControl/>
              <w:rPr>
                <w:szCs w:val="24"/>
              </w:rPr>
            </w:pPr>
            <w:r w:rsidRPr="000B202B">
              <w:rPr>
                <w:szCs w:val="24"/>
              </w:rPr>
              <w:t>21 N.J.R. 2991(a)</w:t>
            </w:r>
          </w:p>
          <w:p w:rsidR="008E50A4" w:rsidRPr="000B202B" w:rsidRDefault="008E50A4"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p>
        </w:tc>
      </w:tr>
      <w:tr w:rsidR="0000725A" w:rsidRPr="000B202B" w:rsidTr="00D06EC6">
        <w:trPr>
          <w:trHeight w:val="435"/>
        </w:trPr>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Amendment</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March 20, 2009</w:t>
            </w: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F14C16" w:rsidP="0060455B">
            <w:pPr>
              <w:widowControl/>
              <w:rPr>
                <w:szCs w:val="24"/>
              </w:rPr>
            </w:pPr>
            <w:r w:rsidRPr="000B202B">
              <w:rPr>
                <w:szCs w:val="24"/>
              </w:rPr>
              <w:t>A</w:t>
            </w:r>
            <w:r w:rsidR="0000725A" w:rsidRPr="000B202B">
              <w:rPr>
                <w:szCs w:val="24"/>
              </w:rPr>
              <w:t>pril 20, 2009</w:t>
            </w:r>
          </w:p>
          <w:p w:rsidR="0000725A" w:rsidRPr="000B202B" w:rsidRDefault="0000725A" w:rsidP="0060455B">
            <w:pPr>
              <w:widowControl/>
              <w:rPr>
                <w:szCs w:val="24"/>
              </w:rPr>
            </w:pPr>
            <w:r w:rsidRPr="000B202B">
              <w:rPr>
                <w:szCs w:val="24"/>
              </w:rPr>
              <w:t>40 N.J.R. 4390(a)</w:t>
            </w:r>
          </w:p>
          <w:p w:rsidR="0000725A" w:rsidRDefault="00347040" w:rsidP="0060455B">
            <w:pPr>
              <w:widowControl/>
              <w:rPr>
                <w:szCs w:val="24"/>
              </w:rPr>
            </w:pPr>
            <w:r w:rsidRPr="000B202B">
              <w:rPr>
                <w:szCs w:val="24"/>
              </w:rPr>
              <w:t>41</w:t>
            </w:r>
            <w:r w:rsidR="0000725A" w:rsidRPr="000B202B">
              <w:rPr>
                <w:szCs w:val="24"/>
              </w:rPr>
              <w:t xml:space="preserve"> N.J.R. </w:t>
            </w:r>
            <w:r w:rsidRPr="000B202B">
              <w:rPr>
                <w:szCs w:val="24"/>
              </w:rPr>
              <w:t>1752</w:t>
            </w:r>
            <w:r w:rsidR="0000725A" w:rsidRPr="000B202B">
              <w:rPr>
                <w:szCs w:val="24"/>
              </w:rPr>
              <w:t>(</w:t>
            </w:r>
            <w:r w:rsidRPr="000B202B">
              <w:rPr>
                <w:szCs w:val="24"/>
              </w:rPr>
              <w:t>a</w:t>
            </w:r>
            <w:r w:rsidR="0000725A" w:rsidRPr="000B202B">
              <w:rPr>
                <w:szCs w:val="24"/>
              </w:rPr>
              <w:t>)</w:t>
            </w:r>
          </w:p>
          <w:p w:rsidR="008E50A4" w:rsidRPr="000B202B" w:rsidRDefault="008E50A4"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00725A" w:rsidRPr="000B202B" w:rsidRDefault="0000725A" w:rsidP="0060455B">
            <w:pPr>
              <w:widowControl/>
              <w:rPr>
                <w:szCs w:val="24"/>
              </w:rPr>
            </w:pPr>
            <w:r w:rsidRPr="000B202B">
              <w:rPr>
                <w:szCs w:val="24"/>
              </w:rPr>
              <w:t>May 19, 2009</w:t>
            </w:r>
          </w:p>
        </w:tc>
      </w:tr>
      <w:tr w:rsidR="008E50A4" w:rsidRPr="000B202B" w:rsidTr="00D06EC6">
        <w:trPr>
          <w:trHeight w:val="435"/>
        </w:trPr>
        <w:tc>
          <w:tcPr>
            <w:tcW w:w="2340" w:type="dxa"/>
            <w:tcBorders>
              <w:top w:val="single" w:sz="6" w:space="0" w:color="FFFFFF"/>
              <w:left w:val="single" w:sz="6" w:space="0" w:color="FFFFFF"/>
              <w:bottom w:val="single" w:sz="6" w:space="0" w:color="FFFFFF"/>
              <w:right w:val="single" w:sz="6" w:space="0" w:color="FFFFFF"/>
            </w:tcBorders>
          </w:tcPr>
          <w:p w:rsidR="008E50A4" w:rsidRPr="000B202B" w:rsidRDefault="008E50A4" w:rsidP="0060455B">
            <w:pPr>
              <w:widowControl/>
              <w:rPr>
                <w:szCs w:val="24"/>
              </w:rPr>
            </w:pPr>
            <w:r w:rsidRPr="007D214D">
              <w:rPr>
                <w:szCs w:val="24"/>
              </w:rPr>
              <w:t>Administrative Changes</w:t>
            </w:r>
          </w:p>
        </w:tc>
        <w:tc>
          <w:tcPr>
            <w:tcW w:w="2340" w:type="dxa"/>
            <w:tcBorders>
              <w:top w:val="single" w:sz="6" w:space="0" w:color="FFFFFF"/>
              <w:left w:val="single" w:sz="6" w:space="0" w:color="FFFFFF"/>
              <w:bottom w:val="single" w:sz="6" w:space="0" w:color="FFFFFF"/>
              <w:right w:val="single" w:sz="6" w:space="0" w:color="FFFFFF"/>
            </w:tcBorders>
          </w:tcPr>
          <w:p w:rsidR="008E50A4" w:rsidRPr="000B202B" w:rsidRDefault="008E50A4" w:rsidP="0060455B">
            <w:pPr>
              <w:widowControl/>
              <w:rPr>
                <w:szCs w:val="24"/>
              </w:rPr>
            </w:pPr>
          </w:p>
        </w:tc>
        <w:tc>
          <w:tcPr>
            <w:tcW w:w="2340" w:type="dxa"/>
            <w:tcBorders>
              <w:top w:val="single" w:sz="6" w:space="0" w:color="FFFFFF"/>
              <w:left w:val="single" w:sz="6" w:space="0" w:color="FFFFFF"/>
              <w:bottom w:val="single" w:sz="6" w:space="0" w:color="FFFFFF"/>
              <w:right w:val="single" w:sz="6" w:space="0" w:color="FFFFFF"/>
            </w:tcBorders>
          </w:tcPr>
          <w:p w:rsidR="008E50A4" w:rsidRDefault="008E50A4" w:rsidP="0060455B">
            <w:pPr>
              <w:widowControl/>
              <w:rPr>
                <w:szCs w:val="24"/>
              </w:rPr>
            </w:pPr>
            <w:r w:rsidRPr="007D214D">
              <w:rPr>
                <w:szCs w:val="24"/>
              </w:rPr>
              <w:t>September</w:t>
            </w:r>
            <w:r w:rsidRPr="00D30AF9">
              <w:rPr>
                <w:szCs w:val="24"/>
              </w:rPr>
              <w:t xml:space="preserve"> 6, 2011</w:t>
            </w:r>
          </w:p>
          <w:p w:rsidR="008E50A4" w:rsidRPr="000B202B" w:rsidRDefault="008E50A4" w:rsidP="0060455B">
            <w:pPr>
              <w:widowControl/>
              <w:rPr>
                <w:szCs w:val="24"/>
              </w:rPr>
            </w:pPr>
            <w:bookmarkStart w:id="3" w:name="_GoBack"/>
            <w:bookmarkEnd w:id="3"/>
            <w:r w:rsidRPr="00D30AF9">
              <w:rPr>
                <w:szCs w:val="24"/>
              </w:rPr>
              <w:t>43 N.J.R. 2328(a)</w:t>
            </w:r>
          </w:p>
        </w:tc>
        <w:tc>
          <w:tcPr>
            <w:tcW w:w="2340" w:type="dxa"/>
            <w:tcBorders>
              <w:top w:val="single" w:sz="6" w:space="0" w:color="FFFFFF"/>
              <w:left w:val="single" w:sz="6" w:space="0" w:color="FFFFFF"/>
              <w:bottom w:val="single" w:sz="6" w:space="0" w:color="FFFFFF"/>
              <w:right w:val="single" w:sz="6" w:space="0" w:color="FFFFFF"/>
            </w:tcBorders>
          </w:tcPr>
          <w:p w:rsidR="008E50A4" w:rsidRPr="000B202B" w:rsidRDefault="008E50A4" w:rsidP="0060455B">
            <w:pPr>
              <w:widowControl/>
              <w:rPr>
                <w:szCs w:val="24"/>
              </w:rPr>
            </w:pPr>
          </w:p>
        </w:tc>
      </w:tr>
    </w:tbl>
    <w:p w:rsidR="00D06EC6" w:rsidRDefault="00D06EC6" w:rsidP="0060455B">
      <w:pPr>
        <w:rPr>
          <w:szCs w:val="24"/>
        </w:rPr>
      </w:pPr>
    </w:p>
    <w:p w:rsidR="00C70840" w:rsidRDefault="00C70840" w:rsidP="0060455B">
      <w:pPr>
        <w:rPr>
          <w:szCs w:val="24"/>
        </w:rPr>
        <w:sectPr w:rsidR="00C70840" w:rsidSect="00C70840">
          <w:headerReference w:type="default" r:id="rId7"/>
          <w:footerReference w:type="default" r:id="rId8"/>
          <w:type w:val="continuous"/>
          <w:pgSz w:w="12240" w:h="15840"/>
          <w:pgMar w:top="1440" w:right="1440" w:bottom="1440" w:left="1440" w:header="720" w:footer="432" w:gutter="0"/>
          <w:cols w:space="720"/>
          <w:docGrid w:linePitch="360"/>
        </w:sectPr>
      </w:pPr>
    </w:p>
    <w:p w:rsidR="0060455B" w:rsidRDefault="0060455B" w:rsidP="0060455B">
      <w:pPr>
        <w:rPr>
          <w:szCs w:val="24"/>
        </w:rPr>
      </w:pPr>
    </w:p>
    <w:p w:rsidR="0060455B" w:rsidRPr="0060455B" w:rsidRDefault="0060455B" w:rsidP="0060455B">
      <w:pPr>
        <w:rPr>
          <w:szCs w:val="24"/>
        </w:rPr>
      </w:pPr>
    </w:p>
    <w:p w:rsidR="009C4713" w:rsidRPr="0060455B" w:rsidRDefault="0060455B" w:rsidP="0060455B">
      <w:pPr>
        <w:pStyle w:val="Heading2"/>
        <w:spacing w:before="0" w:after="0"/>
        <w:rPr>
          <w:rFonts w:cs="Times New Roman"/>
          <w:szCs w:val="24"/>
        </w:rPr>
      </w:pPr>
      <w:bookmarkStart w:id="4" w:name="_Toc229458279"/>
      <w:r>
        <w:rPr>
          <w:rFonts w:cs="Times New Roman"/>
          <w:szCs w:val="24"/>
        </w:rPr>
        <w:br w:type="page"/>
      </w:r>
      <w:r w:rsidR="009C4713" w:rsidRPr="0060455B">
        <w:rPr>
          <w:rFonts w:cs="Times New Roman"/>
          <w:szCs w:val="24"/>
        </w:rPr>
        <w:lastRenderedPageBreak/>
        <w:t>7:27-10.1</w:t>
      </w:r>
      <w:r w:rsidR="00CC66FD" w:rsidRPr="0060455B">
        <w:rPr>
          <w:rFonts w:cs="Times New Roman"/>
          <w:szCs w:val="24"/>
        </w:rPr>
        <w:tab/>
      </w:r>
      <w:r w:rsidR="009C4713" w:rsidRPr="0060455B">
        <w:rPr>
          <w:rFonts w:cs="Times New Roman"/>
          <w:szCs w:val="24"/>
        </w:rPr>
        <w:t>Definitions</w:t>
      </w:r>
      <w:bookmarkEnd w:id="4"/>
      <w:r w:rsidR="000C0D72" w:rsidRPr="0060455B">
        <w:rPr>
          <w:rFonts w:cs="Times New Roman"/>
          <w:szCs w:val="24"/>
        </w:rPr>
        <w:fldChar w:fldCharType="begin"/>
      </w:r>
      <w:r w:rsidR="000C0D72" w:rsidRPr="0060455B">
        <w:rPr>
          <w:rFonts w:cs="Times New Roman"/>
          <w:szCs w:val="24"/>
        </w:rPr>
        <w:instrText xml:space="preserve"> TC "</w:instrText>
      </w:r>
      <w:bookmarkStart w:id="5" w:name="_Toc229458220"/>
      <w:r w:rsidR="000C0D72" w:rsidRPr="0060455B">
        <w:rPr>
          <w:rFonts w:cs="Times New Roman"/>
          <w:szCs w:val="24"/>
        </w:rPr>
        <w:instrText>7:27-10.1</w:instrText>
      </w:r>
      <w:r w:rsidR="000C0D72" w:rsidRPr="0060455B">
        <w:rPr>
          <w:rFonts w:cs="Times New Roman"/>
          <w:szCs w:val="24"/>
        </w:rPr>
        <w:tab/>
        <w:instrText>Definitions</w:instrText>
      </w:r>
      <w:bookmarkEnd w:id="5"/>
      <w:r w:rsidR="000C0D72" w:rsidRPr="0060455B">
        <w:rPr>
          <w:rFonts w:cs="Times New Roman"/>
          <w:szCs w:val="24"/>
        </w:rPr>
        <w:instrText xml:space="preserve">" \f C \l "1" </w:instrText>
      </w:r>
      <w:r w:rsidR="000C0D72" w:rsidRPr="0060455B">
        <w:rPr>
          <w:rFonts w:cs="Times New Roman"/>
          <w:szCs w:val="24"/>
        </w:rPr>
        <w:fldChar w:fldCharType="end"/>
      </w:r>
      <w:r w:rsidR="009C4713" w:rsidRPr="0060455B">
        <w:rPr>
          <w:rFonts w:cs="Times New Roman"/>
          <w:szCs w:val="24"/>
        </w:rPr>
        <w:t xml:space="preserve"> </w:t>
      </w:r>
    </w:p>
    <w:p w:rsidR="009C4713" w:rsidRPr="0060455B" w:rsidRDefault="009C4713" w:rsidP="0060455B">
      <w:pPr>
        <w:pStyle w:val="Default"/>
        <w:jc w:val="both"/>
      </w:pPr>
    </w:p>
    <w:p w:rsidR="0060455B" w:rsidRDefault="00665F87" w:rsidP="0060455B">
      <w:pPr>
        <w:pStyle w:val="NoSpacing"/>
        <w:ind w:firstLine="720"/>
        <w:rPr>
          <w:szCs w:val="24"/>
        </w:rPr>
      </w:pPr>
      <w:r w:rsidRPr="0060455B">
        <w:rPr>
          <w:szCs w:val="24"/>
        </w:rPr>
        <w:t>The following words and terms, when used in this subchapter, shall have the following meanings, unless the context clearly indicates otherwise.</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Anthracite coal</w:t>
      </w:r>
      <w:r w:rsidRPr="0060455B">
        <w:rPr>
          <w:b/>
          <w:szCs w:val="24"/>
        </w:rPr>
        <w:t>”</w:t>
      </w:r>
      <w:r w:rsidR="00665F87" w:rsidRPr="0060455B">
        <w:rPr>
          <w:szCs w:val="24"/>
        </w:rPr>
        <w:t xml:space="preserve"> means coal that is classified as anthracite according to the American Society for Testing and Materials Standard Specification for Classification of Coals by Rank, ASTM D 388-77.</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Approved stack-gas cleaning process</w:t>
      </w:r>
      <w:r w:rsidRPr="0060455B">
        <w:rPr>
          <w:b/>
          <w:szCs w:val="24"/>
        </w:rPr>
        <w:t>”</w:t>
      </w:r>
      <w:r w:rsidR="00665F87" w:rsidRPr="0060455B">
        <w:rPr>
          <w:szCs w:val="24"/>
        </w:rPr>
        <w:t xml:space="preserve"> means a process which removes sulfur dioxide from the products of combustion of solid fuel and which has been approved by the Department.</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Bituminous coal</w:t>
      </w:r>
      <w:r w:rsidRPr="0060455B">
        <w:rPr>
          <w:b/>
          <w:szCs w:val="24"/>
        </w:rPr>
        <w:t>”</w:t>
      </w:r>
      <w:r w:rsidR="00665F87" w:rsidRPr="0060455B">
        <w:rPr>
          <w:szCs w:val="24"/>
        </w:rPr>
        <w:t xml:space="preserve"> means coal that is classified as bituminous according to the American Society for Testing and Materials Standard Specification for Classification of Coals by Rank, ASTM D 388-77.</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Calendar day</w:t>
      </w:r>
      <w:r w:rsidRPr="0060455B">
        <w:rPr>
          <w:b/>
          <w:szCs w:val="24"/>
        </w:rPr>
        <w:t>”</w:t>
      </w:r>
      <w:r w:rsidR="00665F87" w:rsidRPr="0060455B">
        <w:rPr>
          <w:szCs w:val="24"/>
        </w:rPr>
        <w:t xml:space="preserve"> means the 24-hour period from 12:00 midnight to 12:00 midnight the following day.</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Coal</w:t>
      </w:r>
      <w:r w:rsidRPr="0060455B">
        <w:rPr>
          <w:b/>
          <w:szCs w:val="24"/>
        </w:rPr>
        <w:t>”</w:t>
      </w:r>
      <w:r w:rsidR="00665F87" w:rsidRPr="0060455B">
        <w:rPr>
          <w:szCs w:val="24"/>
        </w:rPr>
        <w:t xml:space="preserve"> means anthracite coal, bituminous coal, coke, lignite, </w:t>
      </w:r>
      <w:proofErr w:type="spellStart"/>
      <w:r w:rsidR="00665F87" w:rsidRPr="0060455B">
        <w:rPr>
          <w:szCs w:val="24"/>
        </w:rPr>
        <w:t>nonbanded</w:t>
      </w:r>
      <w:proofErr w:type="spellEnd"/>
      <w:r w:rsidR="00665F87" w:rsidRPr="0060455B">
        <w:rPr>
          <w:szCs w:val="24"/>
        </w:rPr>
        <w:t xml:space="preserve"> coal, and subbituminous coal.</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Coke</w:t>
      </w:r>
      <w:r w:rsidRPr="0060455B">
        <w:rPr>
          <w:b/>
          <w:szCs w:val="24"/>
        </w:rPr>
        <w:t>”</w:t>
      </w:r>
      <w:r w:rsidR="00665F87" w:rsidRPr="0060455B">
        <w:rPr>
          <w:szCs w:val="24"/>
        </w:rPr>
        <w:t xml:space="preserve"> means a fused, cellular, porous structure that remains after free moisture and the major portion of the volatile materials have been distilled from bituminous coal and other carbonaceous material by the application of heat in the absence of air or in the presence of a limited supply of air.</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Control apparatus</w:t>
      </w:r>
      <w:r w:rsidRPr="0060455B">
        <w:rPr>
          <w:b/>
          <w:szCs w:val="24"/>
        </w:rPr>
        <w:t>”</w:t>
      </w:r>
      <w:r w:rsidR="00665F87" w:rsidRPr="0060455B">
        <w:rPr>
          <w:szCs w:val="24"/>
        </w:rPr>
        <w:t xml:space="preserve"> means any device which prevents or controls the emissions of any air contaminant.</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Lignite</w:t>
      </w:r>
      <w:r w:rsidRPr="0060455B">
        <w:rPr>
          <w:b/>
          <w:szCs w:val="24"/>
        </w:rPr>
        <w:t>”</w:t>
      </w:r>
      <w:r w:rsidR="00665F87" w:rsidRPr="0060455B">
        <w:rPr>
          <w:szCs w:val="24"/>
        </w:rPr>
        <w:t xml:space="preserve"> means coal that is classified as lignite A or B according to the American Society for Testing and Materials Standard Specification for Classification of Coals by Rank, ASTM D 388-77.</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One-hour block</w:t>
      </w:r>
      <w:r w:rsidRPr="0060455B">
        <w:rPr>
          <w:b/>
          <w:szCs w:val="24"/>
        </w:rPr>
        <w:t>”</w:t>
      </w:r>
      <w:r w:rsidR="00665F87" w:rsidRPr="0060455B">
        <w:rPr>
          <w:szCs w:val="24"/>
        </w:rPr>
        <w:t xml:space="preserve"> means a one-hour </w:t>
      </w:r>
      <w:proofErr w:type="gramStart"/>
      <w:r w:rsidR="00665F87" w:rsidRPr="0060455B">
        <w:rPr>
          <w:szCs w:val="24"/>
        </w:rPr>
        <w:t>time period</w:t>
      </w:r>
      <w:proofErr w:type="gramEnd"/>
      <w:r w:rsidR="00665F87" w:rsidRPr="0060455B">
        <w:rPr>
          <w:szCs w:val="24"/>
        </w:rPr>
        <w:t xml:space="preserve"> starting on any hour, for example 12:00 midnight to 1:00 A.M., or 1:00 A.M. to 2:00 A.M.</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proofErr w:type="spellStart"/>
      <w:r w:rsidR="00665F87" w:rsidRPr="0060455B">
        <w:rPr>
          <w:b/>
          <w:szCs w:val="24"/>
        </w:rPr>
        <w:t>Nonbanded</w:t>
      </w:r>
      <w:proofErr w:type="spellEnd"/>
      <w:r w:rsidR="00665F87" w:rsidRPr="0060455B">
        <w:rPr>
          <w:b/>
          <w:szCs w:val="24"/>
        </w:rPr>
        <w:t xml:space="preserve"> coal</w:t>
      </w:r>
      <w:r w:rsidRPr="0060455B">
        <w:rPr>
          <w:b/>
          <w:szCs w:val="24"/>
        </w:rPr>
        <w:t>”</w:t>
      </w:r>
      <w:r w:rsidR="00665F87" w:rsidRPr="0060455B">
        <w:rPr>
          <w:szCs w:val="24"/>
        </w:rPr>
        <w:t xml:space="preserve"> means coal that is classified as </w:t>
      </w:r>
      <w:proofErr w:type="spellStart"/>
      <w:r w:rsidR="00665F87" w:rsidRPr="0060455B">
        <w:rPr>
          <w:szCs w:val="24"/>
        </w:rPr>
        <w:t>nonbanded</w:t>
      </w:r>
      <w:proofErr w:type="spellEnd"/>
      <w:r w:rsidR="00665F87" w:rsidRPr="0060455B">
        <w:rPr>
          <w:szCs w:val="24"/>
        </w:rPr>
        <w:t xml:space="preserve"> according to the American Society for Testing and Materials Standard Definition of Terms Relating to Megascopic Description of Coal and Coal Beds and Microscopical Description and Analysis of Coal, ASTM D 2796-77.</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Potential combustion emission rate</w:t>
      </w:r>
      <w:r w:rsidRPr="0060455B">
        <w:rPr>
          <w:b/>
          <w:szCs w:val="24"/>
        </w:rPr>
        <w:t>”</w:t>
      </w:r>
      <w:r w:rsidR="00665F87" w:rsidRPr="0060455B">
        <w:rPr>
          <w:szCs w:val="24"/>
        </w:rPr>
        <w:t xml:space="preserve"> means the theoretical emission rate that would result from the combustion of a fuel in an uncleaned state without control apparatus.</w:t>
      </w:r>
    </w:p>
    <w:p w:rsidR="0060455B" w:rsidRDefault="0060455B" w:rsidP="0060455B">
      <w:pPr>
        <w:pStyle w:val="NoSpacing"/>
        <w:ind w:firstLine="720"/>
        <w:rPr>
          <w:szCs w:val="24"/>
        </w:rPr>
      </w:pPr>
    </w:p>
    <w:p w:rsidR="0060455B" w:rsidRDefault="0060455B" w:rsidP="00CD4C7C">
      <w:pPr>
        <w:pStyle w:val="NoSpacing"/>
        <w:widowControl/>
        <w:ind w:firstLine="720"/>
        <w:rPr>
          <w:szCs w:val="24"/>
        </w:rPr>
      </w:pPr>
      <w:r w:rsidRPr="0060455B">
        <w:rPr>
          <w:b/>
          <w:szCs w:val="24"/>
        </w:rPr>
        <w:lastRenderedPageBreak/>
        <w:t>“</w:t>
      </w:r>
      <w:r w:rsidR="00665F87" w:rsidRPr="0060455B">
        <w:rPr>
          <w:b/>
          <w:szCs w:val="24"/>
        </w:rPr>
        <w:t>Reconstruction</w:t>
      </w:r>
      <w:r w:rsidRPr="0060455B">
        <w:rPr>
          <w:b/>
          <w:szCs w:val="24"/>
        </w:rPr>
        <w:t>”</w:t>
      </w:r>
      <w:r w:rsidR="00665F87" w:rsidRPr="0060455B">
        <w:rPr>
          <w:szCs w:val="24"/>
        </w:rPr>
        <w:t xml:space="preserve"> means the replacement of components of an existing facility to such an extent that the fixed capital cost of the new components exceeds 50 percent of the fixed capital cost that would be required to construct an entirely new comparable facility.</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Resource recovery facility</w:t>
      </w:r>
      <w:r w:rsidRPr="0060455B">
        <w:rPr>
          <w:b/>
          <w:szCs w:val="24"/>
        </w:rPr>
        <w:t>”</w:t>
      </w:r>
      <w:r w:rsidR="00665F87" w:rsidRPr="0060455B">
        <w:rPr>
          <w:szCs w:val="24"/>
        </w:rPr>
        <w:t xml:space="preserve"> means a facility that combusts more than 75 percent non-fossil fuel based on the moving average of heat input during 3-month periods.</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Solid fuel</w:t>
      </w:r>
      <w:r w:rsidRPr="0060455B">
        <w:rPr>
          <w:b/>
          <w:szCs w:val="24"/>
        </w:rPr>
        <w:t>”</w:t>
      </w:r>
      <w:r w:rsidR="00665F87" w:rsidRPr="0060455B">
        <w:rPr>
          <w:szCs w:val="24"/>
        </w:rPr>
        <w:t xml:space="preserve"> means solid material or any substance derived from solid material used or to be used </w:t>
      </w:r>
      <w:proofErr w:type="gramStart"/>
      <w:r w:rsidR="00665F87" w:rsidRPr="0060455B">
        <w:rPr>
          <w:szCs w:val="24"/>
        </w:rPr>
        <w:t>for the purpose of</w:t>
      </w:r>
      <w:proofErr w:type="gramEnd"/>
      <w:r w:rsidR="00665F87" w:rsidRPr="0060455B">
        <w:rPr>
          <w:szCs w:val="24"/>
        </w:rPr>
        <w:t xml:space="preserve"> creating useful heat and includes, but is not limited to, coal, gasified coal, liquified coal, solid solvent-refined coal, municipal solid waste, refuse-derived fuel, and wood.</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Stack or chimney</w:t>
      </w:r>
      <w:r w:rsidRPr="0060455B">
        <w:rPr>
          <w:b/>
          <w:szCs w:val="24"/>
        </w:rPr>
        <w:t>”</w:t>
      </w:r>
      <w:r w:rsidR="00665F87" w:rsidRPr="0060455B">
        <w:rPr>
          <w:szCs w:val="24"/>
        </w:rPr>
        <w:t xml:space="preserve"> means a flue, conduit or opening designed, constructed, and/or utilized </w:t>
      </w:r>
      <w:proofErr w:type="gramStart"/>
      <w:r w:rsidR="00665F87" w:rsidRPr="0060455B">
        <w:rPr>
          <w:szCs w:val="24"/>
        </w:rPr>
        <w:t>for the purpose of</w:t>
      </w:r>
      <w:proofErr w:type="gramEnd"/>
      <w:r w:rsidR="00665F87" w:rsidRPr="0060455B">
        <w:rPr>
          <w:szCs w:val="24"/>
        </w:rPr>
        <w:t xml:space="preserve"> emitting air contaminants into the outdoor air.</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Steam generating unit</w:t>
      </w:r>
      <w:r w:rsidRPr="0060455B">
        <w:rPr>
          <w:b/>
          <w:szCs w:val="24"/>
        </w:rPr>
        <w:t>”</w:t>
      </w:r>
      <w:r w:rsidR="00665F87" w:rsidRPr="0060455B">
        <w:rPr>
          <w:szCs w:val="24"/>
        </w:rPr>
        <w:t xml:space="preserve"> means any furnace, boiler, or other device used for combustion fuel </w:t>
      </w:r>
      <w:proofErr w:type="gramStart"/>
      <w:r w:rsidR="00665F87" w:rsidRPr="0060455B">
        <w:rPr>
          <w:szCs w:val="24"/>
        </w:rPr>
        <w:t>for the purpose of</w:t>
      </w:r>
      <w:proofErr w:type="gramEnd"/>
      <w:r w:rsidR="00665F87" w:rsidRPr="0060455B">
        <w:rPr>
          <w:szCs w:val="24"/>
        </w:rPr>
        <w:t xml:space="preserve"> producing steam.</w:t>
      </w:r>
    </w:p>
    <w:p w:rsidR="0060455B" w:rsidRDefault="0060455B" w:rsidP="0060455B">
      <w:pPr>
        <w:pStyle w:val="NoSpacing"/>
        <w:ind w:firstLine="720"/>
        <w:rPr>
          <w:szCs w:val="24"/>
        </w:rPr>
      </w:pPr>
    </w:p>
    <w:p w:rsidR="0060455B" w:rsidRDefault="0060455B" w:rsidP="0060455B">
      <w:pPr>
        <w:pStyle w:val="NoSpacing"/>
        <w:ind w:firstLine="720"/>
        <w:rPr>
          <w:szCs w:val="24"/>
        </w:rPr>
      </w:pPr>
      <w:r w:rsidRPr="0060455B">
        <w:rPr>
          <w:b/>
          <w:szCs w:val="24"/>
        </w:rPr>
        <w:t>“</w:t>
      </w:r>
      <w:r w:rsidR="00665F87" w:rsidRPr="0060455B">
        <w:rPr>
          <w:b/>
          <w:szCs w:val="24"/>
        </w:rPr>
        <w:t>Subbituminous coal</w:t>
      </w:r>
      <w:r w:rsidRPr="0060455B">
        <w:rPr>
          <w:b/>
          <w:szCs w:val="24"/>
        </w:rPr>
        <w:t>”</w:t>
      </w:r>
      <w:r w:rsidR="00665F87" w:rsidRPr="0060455B">
        <w:rPr>
          <w:szCs w:val="24"/>
        </w:rPr>
        <w:t xml:space="preserve"> means coal that is classified as subbituminous according to the American Society for Testing and Materials Standard Specification for Classification of Coals by Rank, ASTM D 388-77.</w:t>
      </w:r>
    </w:p>
    <w:p w:rsidR="0060455B" w:rsidRDefault="0060455B"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Sulfur dioxide (SO</w:t>
      </w:r>
      <w:r w:rsidR="00665F87" w:rsidRPr="0060455B">
        <w:rPr>
          <w:b/>
          <w:szCs w:val="24"/>
          <w:vertAlign w:val="subscript"/>
        </w:rPr>
        <w:t>2</w:t>
      </w:r>
      <w:r w:rsidR="00665F87" w:rsidRPr="0060455B">
        <w:rPr>
          <w:b/>
          <w:szCs w:val="24"/>
        </w:rPr>
        <w:t>)</w:t>
      </w:r>
      <w:r w:rsidRPr="0060455B">
        <w:rPr>
          <w:b/>
          <w:szCs w:val="24"/>
        </w:rPr>
        <w:t>”</w:t>
      </w:r>
      <w:r w:rsidR="00665F87" w:rsidRPr="0060455B">
        <w:rPr>
          <w:szCs w:val="24"/>
        </w:rPr>
        <w:t xml:space="preserve"> means a colorless gas at standard conditions, having a molecular composition of one sulfur atom and two oxygen atoms.</w:t>
      </w:r>
    </w:p>
    <w:p w:rsidR="00D41EF4" w:rsidRDefault="00D41EF4"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30-calendar-day rolling average emission rate</w:t>
      </w:r>
      <w:r w:rsidRPr="0060455B">
        <w:rPr>
          <w:b/>
          <w:szCs w:val="24"/>
        </w:rPr>
        <w:t>”</w:t>
      </w:r>
      <w:r w:rsidR="00665F87" w:rsidRPr="0060455B">
        <w:rPr>
          <w:szCs w:val="24"/>
        </w:rPr>
        <w:t xml:space="preserve"> means the average emission rate over 30 consecutive calendar days determined pursuant to N.J.A.C. 7:27-10.5.</w:t>
      </w:r>
    </w:p>
    <w:p w:rsidR="00D41EF4" w:rsidRDefault="00D41EF4"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24-hour emission rate</w:t>
      </w:r>
      <w:r w:rsidRPr="0060455B">
        <w:rPr>
          <w:b/>
          <w:szCs w:val="24"/>
        </w:rPr>
        <w:t>”</w:t>
      </w:r>
      <w:r w:rsidR="00665F87" w:rsidRPr="0060455B">
        <w:rPr>
          <w:szCs w:val="24"/>
        </w:rPr>
        <w:t xml:space="preserve"> means total emissions in a calendar day determined pursuant to N.J.A.C. 7:27-10.5.</w:t>
      </w:r>
    </w:p>
    <w:p w:rsidR="00D41EF4" w:rsidRDefault="00D41EF4"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Zone One</w:t>
      </w:r>
      <w:r w:rsidRPr="0060455B">
        <w:rPr>
          <w:b/>
          <w:szCs w:val="24"/>
        </w:rPr>
        <w:t>”</w:t>
      </w:r>
      <w:r w:rsidR="00665F87" w:rsidRPr="0060455B">
        <w:rPr>
          <w:szCs w:val="24"/>
        </w:rPr>
        <w:t xml:space="preserve"> means Atlantic, Cape May, Cumberland, and Ocean Counties.</w:t>
      </w:r>
    </w:p>
    <w:p w:rsidR="00D41EF4" w:rsidRDefault="00D41EF4"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Zone Two</w:t>
      </w:r>
      <w:r w:rsidRPr="0060455B">
        <w:rPr>
          <w:b/>
          <w:szCs w:val="24"/>
        </w:rPr>
        <w:t>”</w:t>
      </w:r>
      <w:r w:rsidR="00665F87" w:rsidRPr="0060455B">
        <w:rPr>
          <w:szCs w:val="24"/>
        </w:rPr>
        <w:t xml:space="preserve"> means Hunterdon, Sussex, and Warren Counties.</w:t>
      </w:r>
    </w:p>
    <w:p w:rsidR="00D41EF4" w:rsidRDefault="00D41EF4" w:rsidP="0060455B">
      <w:pPr>
        <w:pStyle w:val="NoSpacing"/>
        <w:ind w:firstLine="720"/>
        <w:rPr>
          <w:szCs w:val="24"/>
        </w:rPr>
      </w:pPr>
    </w:p>
    <w:p w:rsidR="00D41EF4" w:rsidRDefault="0060455B" w:rsidP="0060455B">
      <w:pPr>
        <w:pStyle w:val="NoSpacing"/>
        <w:ind w:firstLine="720"/>
        <w:rPr>
          <w:szCs w:val="24"/>
        </w:rPr>
      </w:pPr>
      <w:r w:rsidRPr="0060455B">
        <w:rPr>
          <w:b/>
          <w:szCs w:val="24"/>
        </w:rPr>
        <w:t>“</w:t>
      </w:r>
      <w:r w:rsidR="00665F87" w:rsidRPr="0060455B">
        <w:rPr>
          <w:b/>
          <w:szCs w:val="24"/>
        </w:rPr>
        <w:t>Zone Three</w:t>
      </w:r>
      <w:r w:rsidRPr="0060455B">
        <w:rPr>
          <w:b/>
          <w:szCs w:val="24"/>
        </w:rPr>
        <w:t>”</w:t>
      </w:r>
      <w:r w:rsidR="00665F87" w:rsidRPr="0060455B">
        <w:rPr>
          <w:szCs w:val="24"/>
        </w:rPr>
        <w:t xml:space="preserve"> means Burlington, Camden, Gloucester, Mercer, and Salem Counties.</w:t>
      </w:r>
    </w:p>
    <w:p w:rsidR="00D41EF4" w:rsidRDefault="00D41EF4" w:rsidP="0060455B">
      <w:pPr>
        <w:pStyle w:val="NoSpacing"/>
        <w:ind w:firstLine="720"/>
        <w:rPr>
          <w:szCs w:val="24"/>
        </w:rPr>
      </w:pPr>
    </w:p>
    <w:p w:rsidR="009C4713" w:rsidRDefault="0060455B" w:rsidP="0060455B">
      <w:pPr>
        <w:pStyle w:val="NoSpacing"/>
        <w:ind w:firstLine="720"/>
        <w:rPr>
          <w:szCs w:val="24"/>
        </w:rPr>
      </w:pPr>
      <w:r w:rsidRPr="0060455B">
        <w:rPr>
          <w:b/>
          <w:szCs w:val="24"/>
        </w:rPr>
        <w:t>“</w:t>
      </w:r>
      <w:r w:rsidR="00665F87" w:rsidRPr="0060455B">
        <w:rPr>
          <w:b/>
          <w:szCs w:val="24"/>
        </w:rPr>
        <w:t>Zone Four</w:t>
      </w:r>
      <w:r w:rsidRPr="0060455B">
        <w:rPr>
          <w:b/>
          <w:szCs w:val="24"/>
        </w:rPr>
        <w:t>”</w:t>
      </w:r>
      <w:r w:rsidR="00665F87" w:rsidRPr="0060455B">
        <w:rPr>
          <w:szCs w:val="24"/>
        </w:rPr>
        <w:t xml:space="preserve"> means Bergen, Essex, Hudson, Middlesex, Monmouth, Morris, Passaic, Somerset, and Union Counties.</w:t>
      </w:r>
    </w:p>
    <w:p w:rsidR="0060455B" w:rsidRPr="0060455B" w:rsidRDefault="0060455B" w:rsidP="0060455B">
      <w:pPr>
        <w:pStyle w:val="NoSpacing"/>
        <w:ind w:firstLine="720"/>
        <w:rPr>
          <w:b/>
          <w:bCs/>
          <w:szCs w:val="24"/>
        </w:rPr>
      </w:pPr>
    </w:p>
    <w:p w:rsidR="009C4713" w:rsidRPr="0060455B" w:rsidRDefault="009C4713" w:rsidP="0060455B">
      <w:pPr>
        <w:pStyle w:val="Heading2"/>
        <w:spacing w:before="0" w:after="0"/>
        <w:rPr>
          <w:rFonts w:cs="Times New Roman"/>
          <w:szCs w:val="24"/>
        </w:rPr>
      </w:pPr>
      <w:bookmarkStart w:id="6" w:name="_Toc229458280"/>
      <w:r w:rsidRPr="0060455B">
        <w:rPr>
          <w:rFonts w:cs="Times New Roman"/>
          <w:szCs w:val="24"/>
        </w:rPr>
        <w:t>7:27-10.2</w:t>
      </w:r>
      <w:r w:rsidR="00CC66FD" w:rsidRPr="0060455B">
        <w:rPr>
          <w:rFonts w:cs="Times New Roman"/>
          <w:szCs w:val="24"/>
        </w:rPr>
        <w:tab/>
      </w:r>
      <w:r w:rsidRPr="0060455B">
        <w:rPr>
          <w:rFonts w:cs="Times New Roman"/>
          <w:szCs w:val="24"/>
        </w:rPr>
        <w:t>Sulfur contents standards</w:t>
      </w:r>
      <w:bookmarkEnd w:id="6"/>
      <w:r w:rsidR="000C0D72" w:rsidRPr="0060455B">
        <w:rPr>
          <w:rFonts w:cs="Times New Roman"/>
          <w:szCs w:val="24"/>
        </w:rPr>
        <w:fldChar w:fldCharType="begin"/>
      </w:r>
      <w:r w:rsidR="000C0D72" w:rsidRPr="0060455B">
        <w:rPr>
          <w:rFonts w:cs="Times New Roman"/>
          <w:szCs w:val="24"/>
        </w:rPr>
        <w:instrText xml:space="preserve"> TC "</w:instrText>
      </w:r>
      <w:bookmarkStart w:id="7" w:name="_Toc229458221"/>
      <w:r w:rsidR="000C0D72" w:rsidRPr="0060455B">
        <w:rPr>
          <w:rFonts w:cs="Times New Roman"/>
          <w:szCs w:val="24"/>
        </w:rPr>
        <w:instrText>7:27-10.2</w:instrText>
      </w:r>
      <w:r w:rsidR="000C0D72" w:rsidRPr="0060455B">
        <w:rPr>
          <w:rFonts w:cs="Times New Roman"/>
          <w:szCs w:val="24"/>
        </w:rPr>
        <w:tab/>
        <w:instrText>Sulfur contents standards</w:instrText>
      </w:r>
      <w:bookmarkEnd w:id="7"/>
      <w:r w:rsidR="000C0D72" w:rsidRPr="0060455B">
        <w:rPr>
          <w:rFonts w:cs="Times New Roman"/>
          <w:szCs w:val="24"/>
        </w:rPr>
        <w:instrText xml:space="preserve">" \f C \l "1" </w:instrText>
      </w:r>
      <w:r w:rsidR="000C0D72" w:rsidRPr="0060455B">
        <w:rPr>
          <w:rFonts w:cs="Times New Roman"/>
          <w:szCs w:val="24"/>
        </w:rPr>
        <w:fldChar w:fldCharType="end"/>
      </w:r>
      <w:r w:rsidRPr="0060455B">
        <w:rPr>
          <w:rFonts w:cs="Times New Roman"/>
          <w:szCs w:val="24"/>
        </w:rPr>
        <w:t xml:space="preserve"> </w:t>
      </w:r>
    </w:p>
    <w:p w:rsidR="002C704B" w:rsidRPr="0060455B" w:rsidRDefault="002C704B" w:rsidP="0060455B">
      <w:pPr>
        <w:rPr>
          <w:snapToGrid/>
          <w:szCs w:val="24"/>
        </w:rPr>
      </w:pPr>
      <w:bookmarkStart w:id="8" w:name="_Toc229458281"/>
    </w:p>
    <w:p w:rsidR="00D41EF4" w:rsidRDefault="00D41EF4" w:rsidP="00D41EF4">
      <w:pPr>
        <w:ind w:left="720" w:hanging="720"/>
        <w:rPr>
          <w:color w:val="333333"/>
          <w:szCs w:val="24"/>
        </w:rPr>
      </w:pPr>
      <w:r>
        <w:rPr>
          <w:color w:val="333333"/>
          <w:szCs w:val="24"/>
        </w:rPr>
        <w:t>(a)</w:t>
      </w:r>
      <w:r>
        <w:rPr>
          <w:color w:val="333333"/>
          <w:szCs w:val="24"/>
        </w:rPr>
        <w:tab/>
      </w:r>
      <w:r w:rsidR="000B202B" w:rsidRPr="0060455B">
        <w:rPr>
          <w:color w:val="333333"/>
          <w:szCs w:val="24"/>
        </w:rPr>
        <w:t xml:space="preserve">On and before December 14, 2012, no person shall store, offer for sale, sell, deliver or exchange in trade, for use in New Jersey, solid fuel which contains sulfur </w:t>
      </w:r>
      <w:proofErr w:type="gramStart"/>
      <w:r w:rsidR="000B202B" w:rsidRPr="0060455B">
        <w:rPr>
          <w:color w:val="333333"/>
          <w:szCs w:val="24"/>
        </w:rPr>
        <w:t>in excess of</w:t>
      </w:r>
      <w:proofErr w:type="gramEnd"/>
      <w:r w:rsidR="000B202B" w:rsidRPr="0060455B">
        <w:rPr>
          <w:color w:val="333333"/>
          <w:szCs w:val="24"/>
        </w:rPr>
        <w:t xml:space="preserve"> the percentages by weight set forth in Table 1, except as provided otherwise in this Subchapter.</w:t>
      </w:r>
    </w:p>
    <w:p w:rsidR="00D41EF4" w:rsidRDefault="00D41EF4" w:rsidP="00D41EF4">
      <w:pPr>
        <w:ind w:left="720" w:hanging="720"/>
        <w:rPr>
          <w:color w:val="333333"/>
          <w:szCs w:val="24"/>
        </w:rPr>
      </w:pPr>
    </w:p>
    <w:p w:rsidR="000B202B" w:rsidRPr="0060455B" w:rsidRDefault="00D41EF4" w:rsidP="00D53261">
      <w:pPr>
        <w:widowControl/>
        <w:ind w:left="720" w:hanging="720"/>
        <w:rPr>
          <w:color w:val="333333"/>
          <w:szCs w:val="24"/>
        </w:rPr>
      </w:pPr>
      <w:r>
        <w:rPr>
          <w:color w:val="333333"/>
          <w:szCs w:val="24"/>
        </w:rPr>
        <w:lastRenderedPageBreak/>
        <w:t>(b)</w:t>
      </w:r>
      <w:r>
        <w:rPr>
          <w:color w:val="333333"/>
          <w:szCs w:val="24"/>
        </w:rPr>
        <w:tab/>
      </w:r>
      <w:r w:rsidR="000B202B" w:rsidRPr="0060455B">
        <w:rPr>
          <w:color w:val="333333"/>
          <w:szCs w:val="24"/>
        </w:rPr>
        <w:t xml:space="preserve">On and before December 14, 2012, no person shall use in New Jersey, solid fuel which contains sulfur </w:t>
      </w:r>
      <w:proofErr w:type="gramStart"/>
      <w:r w:rsidR="000B202B" w:rsidRPr="0060455B">
        <w:rPr>
          <w:color w:val="333333"/>
          <w:szCs w:val="24"/>
        </w:rPr>
        <w:t>in excess of</w:t>
      </w:r>
      <w:proofErr w:type="gramEnd"/>
      <w:r w:rsidR="000B202B" w:rsidRPr="0060455B">
        <w:rPr>
          <w:color w:val="333333"/>
          <w:szCs w:val="24"/>
        </w:rPr>
        <w:t xml:space="preserve"> the percentages by weight set forth in Table 1.</w:t>
      </w:r>
    </w:p>
    <w:p w:rsidR="00CD4C7C" w:rsidRPr="0060455B" w:rsidRDefault="00CD4C7C" w:rsidP="0060455B">
      <w:pPr>
        <w:rPr>
          <w:color w:val="333333"/>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440"/>
        <w:gridCol w:w="1440"/>
        <w:gridCol w:w="1440"/>
        <w:gridCol w:w="1458"/>
      </w:tblGrid>
      <w:tr w:rsidR="00A51628" w:rsidRPr="005C6140" w:rsidTr="005C6140">
        <w:tc>
          <w:tcPr>
            <w:tcW w:w="8856" w:type="dxa"/>
            <w:gridSpan w:val="5"/>
            <w:shd w:val="clear" w:color="auto" w:fill="auto"/>
          </w:tcPr>
          <w:p w:rsidR="00A51628" w:rsidRPr="005C6140" w:rsidRDefault="00A51628" w:rsidP="005C6140">
            <w:pPr>
              <w:jc w:val="center"/>
              <w:rPr>
                <w:b/>
                <w:szCs w:val="24"/>
              </w:rPr>
            </w:pPr>
            <w:r w:rsidRPr="005C6140">
              <w:rPr>
                <w:b/>
                <w:szCs w:val="24"/>
              </w:rPr>
              <w:t xml:space="preserve">TABLE </w:t>
            </w:r>
            <w:r w:rsidR="004B0D7B" w:rsidRPr="005C6140">
              <w:rPr>
                <w:b/>
                <w:szCs w:val="24"/>
              </w:rPr>
              <w:t>1</w:t>
            </w:r>
          </w:p>
        </w:tc>
      </w:tr>
      <w:tr w:rsidR="00A51628" w:rsidRPr="005C6140" w:rsidTr="005C6140">
        <w:tc>
          <w:tcPr>
            <w:tcW w:w="8856" w:type="dxa"/>
            <w:gridSpan w:val="5"/>
            <w:shd w:val="clear" w:color="auto" w:fill="auto"/>
          </w:tcPr>
          <w:p w:rsidR="00A51628" w:rsidRPr="005C6140" w:rsidRDefault="00A51628" w:rsidP="005C6140">
            <w:pPr>
              <w:jc w:val="center"/>
              <w:rPr>
                <w:b/>
                <w:szCs w:val="24"/>
              </w:rPr>
            </w:pPr>
            <w:r w:rsidRPr="005C6140">
              <w:rPr>
                <w:b/>
                <w:szCs w:val="24"/>
              </w:rPr>
              <w:t>EXISTING SOLID FUEL BURNING UNITS</w:t>
            </w:r>
          </w:p>
        </w:tc>
      </w:tr>
      <w:tr w:rsidR="005C6140" w:rsidRPr="005C6140" w:rsidTr="005C6140">
        <w:tc>
          <w:tcPr>
            <w:tcW w:w="3078" w:type="dxa"/>
            <w:shd w:val="clear" w:color="auto" w:fill="auto"/>
          </w:tcPr>
          <w:p w:rsidR="00A51628" w:rsidRPr="005C6140" w:rsidRDefault="00A51628" w:rsidP="008805DF">
            <w:pPr>
              <w:rPr>
                <w:b/>
                <w:szCs w:val="24"/>
              </w:rPr>
            </w:pPr>
            <w:r w:rsidRPr="005C6140">
              <w:rPr>
                <w:b/>
                <w:szCs w:val="24"/>
              </w:rPr>
              <w:t>Type Fuel</w:t>
            </w:r>
          </w:p>
        </w:tc>
        <w:tc>
          <w:tcPr>
            <w:tcW w:w="5778" w:type="dxa"/>
            <w:gridSpan w:val="4"/>
            <w:shd w:val="clear" w:color="auto" w:fill="auto"/>
          </w:tcPr>
          <w:p w:rsidR="004B0D7B" w:rsidRPr="005C6140" w:rsidRDefault="004B0D7B" w:rsidP="005C6140">
            <w:pPr>
              <w:jc w:val="center"/>
              <w:rPr>
                <w:b/>
                <w:szCs w:val="24"/>
              </w:rPr>
            </w:pPr>
            <w:r w:rsidRPr="005C6140">
              <w:rPr>
                <w:b/>
                <w:szCs w:val="24"/>
              </w:rPr>
              <w:t>Maximum Allowable Percent Sulfur by Weight</w:t>
            </w:r>
          </w:p>
          <w:p w:rsidR="00A51628" w:rsidRPr="005C6140" w:rsidRDefault="004B0D7B" w:rsidP="005C6140">
            <w:pPr>
              <w:jc w:val="center"/>
              <w:rPr>
                <w:b/>
                <w:szCs w:val="24"/>
              </w:rPr>
            </w:pPr>
            <w:r w:rsidRPr="005C6140">
              <w:rPr>
                <w:b/>
                <w:szCs w:val="24"/>
              </w:rPr>
              <w:t>(Dry Basis)</w:t>
            </w:r>
          </w:p>
        </w:tc>
      </w:tr>
      <w:tr w:rsidR="005C6140" w:rsidRPr="005C6140" w:rsidTr="005C6140">
        <w:tc>
          <w:tcPr>
            <w:tcW w:w="3078" w:type="dxa"/>
            <w:shd w:val="clear" w:color="auto" w:fill="auto"/>
          </w:tcPr>
          <w:p w:rsidR="00A51628" w:rsidRPr="005C6140" w:rsidRDefault="00A51628" w:rsidP="008805DF">
            <w:pPr>
              <w:rPr>
                <w:szCs w:val="24"/>
              </w:rPr>
            </w:pPr>
          </w:p>
        </w:tc>
        <w:tc>
          <w:tcPr>
            <w:tcW w:w="1440" w:type="dxa"/>
            <w:shd w:val="clear" w:color="auto" w:fill="auto"/>
          </w:tcPr>
          <w:p w:rsidR="00A51628" w:rsidRPr="005C6140" w:rsidRDefault="00A51628" w:rsidP="005C6140">
            <w:pPr>
              <w:jc w:val="center"/>
              <w:rPr>
                <w:b/>
              </w:rPr>
            </w:pPr>
            <w:r w:rsidRPr="005C6140">
              <w:rPr>
                <w:b/>
              </w:rPr>
              <w:t>Zone One</w:t>
            </w:r>
          </w:p>
        </w:tc>
        <w:tc>
          <w:tcPr>
            <w:tcW w:w="1440" w:type="dxa"/>
            <w:shd w:val="clear" w:color="auto" w:fill="auto"/>
          </w:tcPr>
          <w:p w:rsidR="00A51628" w:rsidRPr="005C6140" w:rsidRDefault="00A51628" w:rsidP="005C6140">
            <w:pPr>
              <w:jc w:val="center"/>
              <w:rPr>
                <w:b/>
              </w:rPr>
            </w:pPr>
            <w:r w:rsidRPr="005C6140">
              <w:rPr>
                <w:b/>
              </w:rPr>
              <w:t>Zone Two</w:t>
            </w:r>
          </w:p>
        </w:tc>
        <w:tc>
          <w:tcPr>
            <w:tcW w:w="1440" w:type="dxa"/>
            <w:shd w:val="clear" w:color="auto" w:fill="auto"/>
          </w:tcPr>
          <w:p w:rsidR="00A51628" w:rsidRPr="005C6140" w:rsidRDefault="00A51628" w:rsidP="005C6140">
            <w:pPr>
              <w:jc w:val="center"/>
              <w:rPr>
                <w:b/>
              </w:rPr>
            </w:pPr>
            <w:r w:rsidRPr="005C6140">
              <w:rPr>
                <w:b/>
              </w:rPr>
              <w:t>Zone Three</w:t>
            </w:r>
          </w:p>
        </w:tc>
        <w:tc>
          <w:tcPr>
            <w:tcW w:w="1458" w:type="dxa"/>
            <w:shd w:val="clear" w:color="auto" w:fill="auto"/>
          </w:tcPr>
          <w:p w:rsidR="00A51628" w:rsidRPr="005C6140" w:rsidRDefault="00A51628" w:rsidP="005C6140">
            <w:pPr>
              <w:jc w:val="center"/>
              <w:rPr>
                <w:b/>
              </w:rPr>
            </w:pPr>
            <w:r w:rsidRPr="005C6140">
              <w:rPr>
                <w:b/>
              </w:rPr>
              <w:t>Zone Four</w:t>
            </w:r>
          </w:p>
        </w:tc>
      </w:tr>
      <w:tr w:rsidR="005C6140" w:rsidRPr="007F364D" w:rsidTr="005C6140">
        <w:tc>
          <w:tcPr>
            <w:tcW w:w="3078" w:type="dxa"/>
            <w:shd w:val="clear" w:color="auto" w:fill="auto"/>
          </w:tcPr>
          <w:p w:rsidR="004B0D7B" w:rsidRPr="007F364D" w:rsidRDefault="004B0D7B" w:rsidP="004B0D7B">
            <w:r w:rsidRPr="007F364D">
              <w:t>Anthracite Coal and Coke</w:t>
            </w:r>
          </w:p>
        </w:tc>
        <w:tc>
          <w:tcPr>
            <w:tcW w:w="1440" w:type="dxa"/>
            <w:shd w:val="clear" w:color="auto" w:fill="auto"/>
          </w:tcPr>
          <w:p w:rsidR="004B0D7B" w:rsidRPr="00FF4EB0" w:rsidRDefault="004B0D7B" w:rsidP="005C6140">
            <w:pPr>
              <w:jc w:val="center"/>
            </w:pPr>
            <w:r w:rsidRPr="00FF4EB0">
              <w:t>0.8</w:t>
            </w:r>
          </w:p>
        </w:tc>
        <w:tc>
          <w:tcPr>
            <w:tcW w:w="1440" w:type="dxa"/>
            <w:shd w:val="clear" w:color="auto" w:fill="auto"/>
          </w:tcPr>
          <w:p w:rsidR="004B0D7B" w:rsidRPr="00FF4EB0" w:rsidRDefault="004B0D7B" w:rsidP="005C6140">
            <w:pPr>
              <w:jc w:val="center"/>
            </w:pPr>
            <w:r w:rsidRPr="00FF4EB0">
              <w:t>0.8</w:t>
            </w:r>
          </w:p>
        </w:tc>
        <w:tc>
          <w:tcPr>
            <w:tcW w:w="1440" w:type="dxa"/>
            <w:shd w:val="clear" w:color="auto" w:fill="auto"/>
          </w:tcPr>
          <w:p w:rsidR="004B0D7B" w:rsidRPr="00FF4EB0" w:rsidRDefault="004B0D7B" w:rsidP="005C6140">
            <w:pPr>
              <w:jc w:val="center"/>
            </w:pPr>
            <w:r w:rsidRPr="00FF4EB0">
              <w:t>0.8</w:t>
            </w:r>
          </w:p>
        </w:tc>
        <w:tc>
          <w:tcPr>
            <w:tcW w:w="1458" w:type="dxa"/>
            <w:shd w:val="clear" w:color="auto" w:fill="auto"/>
          </w:tcPr>
          <w:p w:rsidR="004B0D7B" w:rsidRPr="00FF4EB0" w:rsidRDefault="004B0D7B" w:rsidP="005C6140">
            <w:pPr>
              <w:jc w:val="center"/>
            </w:pPr>
            <w:r w:rsidRPr="00FF4EB0">
              <w:t>0.8</w:t>
            </w:r>
          </w:p>
        </w:tc>
      </w:tr>
      <w:tr w:rsidR="005C6140" w:rsidTr="005C6140">
        <w:tc>
          <w:tcPr>
            <w:tcW w:w="3078" w:type="dxa"/>
            <w:shd w:val="clear" w:color="auto" w:fill="auto"/>
          </w:tcPr>
          <w:p w:rsidR="004B0D7B" w:rsidRPr="007F364D" w:rsidRDefault="004B0D7B" w:rsidP="004B0D7B">
            <w:r w:rsidRPr="007F364D">
              <w:t>All other solid Fuels</w:t>
            </w:r>
          </w:p>
        </w:tc>
        <w:tc>
          <w:tcPr>
            <w:tcW w:w="1440" w:type="dxa"/>
            <w:shd w:val="clear" w:color="auto" w:fill="auto"/>
          </w:tcPr>
          <w:p w:rsidR="004B0D7B" w:rsidRPr="00FF4EB0" w:rsidRDefault="004B0D7B" w:rsidP="005C6140">
            <w:pPr>
              <w:jc w:val="center"/>
            </w:pPr>
            <w:r w:rsidRPr="00FF4EB0">
              <w:t>1.0</w:t>
            </w:r>
          </w:p>
        </w:tc>
        <w:tc>
          <w:tcPr>
            <w:tcW w:w="1440" w:type="dxa"/>
            <w:shd w:val="clear" w:color="auto" w:fill="auto"/>
          </w:tcPr>
          <w:p w:rsidR="004B0D7B" w:rsidRPr="00FF4EB0" w:rsidRDefault="004B0D7B" w:rsidP="005C6140">
            <w:pPr>
              <w:jc w:val="center"/>
            </w:pPr>
            <w:r w:rsidRPr="00FF4EB0">
              <w:t>1.0</w:t>
            </w:r>
          </w:p>
        </w:tc>
        <w:tc>
          <w:tcPr>
            <w:tcW w:w="1440" w:type="dxa"/>
            <w:shd w:val="clear" w:color="auto" w:fill="auto"/>
          </w:tcPr>
          <w:p w:rsidR="004B0D7B" w:rsidRPr="00FF4EB0" w:rsidRDefault="004B0D7B" w:rsidP="005C6140">
            <w:pPr>
              <w:jc w:val="center"/>
            </w:pPr>
            <w:r w:rsidRPr="00FF4EB0">
              <w:t>0.2</w:t>
            </w:r>
          </w:p>
        </w:tc>
        <w:tc>
          <w:tcPr>
            <w:tcW w:w="1458" w:type="dxa"/>
            <w:shd w:val="clear" w:color="auto" w:fill="auto"/>
          </w:tcPr>
          <w:p w:rsidR="004B0D7B" w:rsidRDefault="004B0D7B" w:rsidP="005C6140">
            <w:pPr>
              <w:jc w:val="center"/>
            </w:pPr>
            <w:r w:rsidRPr="00FF4EB0">
              <w:t>0.2</w:t>
            </w:r>
          </w:p>
        </w:tc>
      </w:tr>
    </w:tbl>
    <w:p w:rsidR="00CD4C7C" w:rsidRDefault="00CD4C7C" w:rsidP="00D41EF4">
      <w:pPr>
        <w:ind w:left="720" w:hanging="720"/>
        <w:rPr>
          <w:color w:val="333333"/>
          <w:szCs w:val="24"/>
        </w:rPr>
      </w:pPr>
    </w:p>
    <w:p w:rsidR="000B202B" w:rsidRDefault="00D41EF4" w:rsidP="00D41EF4">
      <w:pPr>
        <w:ind w:left="720" w:hanging="720"/>
        <w:rPr>
          <w:color w:val="333333"/>
          <w:szCs w:val="24"/>
        </w:rPr>
      </w:pPr>
      <w:r>
        <w:rPr>
          <w:color w:val="333333"/>
          <w:szCs w:val="24"/>
        </w:rPr>
        <w:t>(c)</w:t>
      </w:r>
      <w:r>
        <w:rPr>
          <w:color w:val="333333"/>
          <w:szCs w:val="24"/>
        </w:rPr>
        <w:tab/>
      </w:r>
      <w:r w:rsidR="000B202B" w:rsidRPr="0060455B">
        <w:rPr>
          <w:color w:val="333333"/>
          <w:szCs w:val="24"/>
        </w:rPr>
        <w:t>On and before December 14, 2012, the provisions of (a) and (b) above shall not apply to solid fuel whose combustion causes sulfur dioxide (SO</w:t>
      </w:r>
      <w:r w:rsidR="000B202B" w:rsidRPr="0060455B">
        <w:rPr>
          <w:color w:val="333333"/>
          <w:szCs w:val="24"/>
          <w:vertAlign w:val="subscript"/>
        </w:rPr>
        <w:t>2</w:t>
      </w:r>
      <w:r w:rsidR="000B202B" w:rsidRPr="0060455B">
        <w:rPr>
          <w:color w:val="333333"/>
          <w:szCs w:val="24"/>
        </w:rPr>
        <w:t>) emissions from any stack or chimney into the outdoor atmosphere which are demonstrated to the Department as not exceeding, at any time, those quantities of sulfur dioxide expressed in pounds per 1,000,000 British Thermal Units (BTU) gross heat input, set forth in Table 2.</w:t>
      </w:r>
    </w:p>
    <w:p w:rsidR="00CD4C7C" w:rsidRDefault="00CD4C7C" w:rsidP="00D41EF4">
      <w:pPr>
        <w:ind w:left="720" w:hanging="720"/>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440"/>
        <w:gridCol w:w="1440"/>
        <w:gridCol w:w="1440"/>
        <w:gridCol w:w="1458"/>
      </w:tblGrid>
      <w:tr w:rsidR="00A51628" w:rsidRPr="005C6140" w:rsidTr="005C6140">
        <w:tc>
          <w:tcPr>
            <w:tcW w:w="8856" w:type="dxa"/>
            <w:gridSpan w:val="5"/>
            <w:shd w:val="clear" w:color="auto" w:fill="auto"/>
          </w:tcPr>
          <w:p w:rsidR="00A51628" w:rsidRPr="005C6140" w:rsidRDefault="00A51628" w:rsidP="005C6140">
            <w:pPr>
              <w:jc w:val="center"/>
              <w:rPr>
                <w:b/>
                <w:szCs w:val="24"/>
              </w:rPr>
            </w:pPr>
            <w:r w:rsidRPr="005C6140">
              <w:rPr>
                <w:b/>
                <w:szCs w:val="24"/>
              </w:rPr>
              <w:t>TABLE 2</w:t>
            </w:r>
          </w:p>
        </w:tc>
      </w:tr>
      <w:tr w:rsidR="00A51628" w:rsidRPr="005C6140" w:rsidTr="005C6140">
        <w:tc>
          <w:tcPr>
            <w:tcW w:w="8856" w:type="dxa"/>
            <w:gridSpan w:val="5"/>
            <w:shd w:val="clear" w:color="auto" w:fill="auto"/>
          </w:tcPr>
          <w:p w:rsidR="00A51628" w:rsidRPr="005C6140" w:rsidRDefault="00A51628" w:rsidP="005C6140">
            <w:pPr>
              <w:jc w:val="center"/>
              <w:rPr>
                <w:b/>
                <w:szCs w:val="24"/>
              </w:rPr>
            </w:pPr>
            <w:r w:rsidRPr="005C6140">
              <w:rPr>
                <w:b/>
                <w:szCs w:val="24"/>
              </w:rPr>
              <w:t>EXISTING SOLID FUEL BURNING UNITS</w:t>
            </w:r>
          </w:p>
        </w:tc>
      </w:tr>
      <w:tr w:rsidR="00A51628" w:rsidRPr="005C6140" w:rsidTr="005C6140">
        <w:tc>
          <w:tcPr>
            <w:tcW w:w="3078" w:type="dxa"/>
            <w:shd w:val="clear" w:color="auto" w:fill="auto"/>
          </w:tcPr>
          <w:p w:rsidR="00A51628" w:rsidRPr="005C6140" w:rsidRDefault="00A51628" w:rsidP="00D41EF4">
            <w:pPr>
              <w:rPr>
                <w:b/>
                <w:szCs w:val="24"/>
              </w:rPr>
            </w:pPr>
            <w:r w:rsidRPr="005C6140">
              <w:rPr>
                <w:b/>
                <w:szCs w:val="24"/>
              </w:rPr>
              <w:t>Type Fuel</w:t>
            </w:r>
          </w:p>
        </w:tc>
        <w:tc>
          <w:tcPr>
            <w:tcW w:w="5778" w:type="dxa"/>
            <w:gridSpan w:val="4"/>
            <w:shd w:val="clear" w:color="auto" w:fill="auto"/>
          </w:tcPr>
          <w:p w:rsidR="00A51628" w:rsidRPr="005C6140" w:rsidRDefault="00A51628" w:rsidP="005C6140">
            <w:pPr>
              <w:jc w:val="center"/>
              <w:rPr>
                <w:b/>
                <w:szCs w:val="24"/>
              </w:rPr>
            </w:pPr>
            <w:r w:rsidRPr="005C6140">
              <w:rPr>
                <w:b/>
                <w:szCs w:val="24"/>
              </w:rPr>
              <w:t>Maximum Allowable SO2 Emissions</w:t>
            </w:r>
          </w:p>
          <w:p w:rsidR="00A51628" w:rsidRPr="005C6140" w:rsidRDefault="00A51628" w:rsidP="005C6140">
            <w:pPr>
              <w:jc w:val="center"/>
              <w:rPr>
                <w:b/>
                <w:szCs w:val="24"/>
              </w:rPr>
            </w:pPr>
            <w:r w:rsidRPr="005C6140">
              <w:rPr>
                <w:b/>
                <w:szCs w:val="24"/>
              </w:rPr>
              <w:t>(pounds/million BTU)</w:t>
            </w:r>
          </w:p>
        </w:tc>
      </w:tr>
      <w:tr w:rsidR="005C6140" w:rsidRPr="005C6140" w:rsidTr="005C6140">
        <w:tc>
          <w:tcPr>
            <w:tcW w:w="3078" w:type="dxa"/>
            <w:shd w:val="clear" w:color="auto" w:fill="auto"/>
          </w:tcPr>
          <w:p w:rsidR="00A51628" w:rsidRPr="005C6140" w:rsidRDefault="00A51628" w:rsidP="00A51628">
            <w:pPr>
              <w:rPr>
                <w:szCs w:val="24"/>
              </w:rPr>
            </w:pPr>
          </w:p>
        </w:tc>
        <w:tc>
          <w:tcPr>
            <w:tcW w:w="1440" w:type="dxa"/>
            <w:shd w:val="clear" w:color="auto" w:fill="auto"/>
          </w:tcPr>
          <w:p w:rsidR="00A51628" w:rsidRPr="005C6140" w:rsidRDefault="00A51628" w:rsidP="005C6140">
            <w:pPr>
              <w:jc w:val="center"/>
              <w:rPr>
                <w:b/>
              </w:rPr>
            </w:pPr>
            <w:r w:rsidRPr="005C6140">
              <w:rPr>
                <w:b/>
              </w:rPr>
              <w:t>Zone One</w:t>
            </w:r>
          </w:p>
        </w:tc>
        <w:tc>
          <w:tcPr>
            <w:tcW w:w="1440" w:type="dxa"/>
            <w:shd w:val="clear" w:color="auto" w:fill="auto"/>
          </w:tcPr>
          <w:p w:rsidR="00A51628" w:rsidRPr="005C6140" w:rsidRDefault="00A51628" w:rsidP="005C6140">
            <w:pPr>
              <w:jc w:val="center"/>
              <w:rPr>
                <w:b/>
              </w:rPr>
            </w:pPr>
            <w:r w:rsidRPr="005C6140">
              <w:rPr>
                <w:b/>
              </w:rPr>
              <w:t>Zone Two</w:t>
            </w:r>
          </w:p>
        </w:tc>
        <w:tc>
          <w:tcPr>
            <w:tcW w:w="1440" w:type="dxa"/>
            <w:shd w:val="clear" w:color="auto" w:fill="auto"/>
          </w:tcPr>
          <w:p w:rsidR="00A51628" w:rsidRPr="005C6140" w:rsidRDefault="00A51628" w:rsidP="005C6140">
            <w:pPr>
              <w:jc w:val="center"/>
              <w:rPr>
                <w:b/>
              </w:rPr>
            </w:pPr>
            <w:r w:rsidRPr="005C6140">
              <w:rPr>
                <w:b/>
              </w:rPr>
              <w:t>Zone Three</w:t>
            </w:r>
          </w:p>
        </w:tc>
        <w:tc>
          <w:tcPr>
            <w:tcW w:w="1458" w:type="dxa"/>
            <w:shd w:val="clear" w:color="auto" w:fill="auto"/>
          </w:tcPr>
          <w:p w:rsidR="00A51628" w:rsidRPr="005C6140" w:rsidRDefault="00A51628" w:rsidP="005C6140">
            <w:pPr>
              <w:jc w:val="center"/>
              <w:rPr>
                <w:b/>
              </w:rPr>
            </w:pPr>
            <w:r w:rsidRPr="005C6140">
              <w:rPr>
                <w:b/>
              </w:rPr>
              <w:t>Zone Four</w:t>
            </w:r>
          </w:p>
        </w:tc>
      </w:tr>
      <w:tr w:rsidR="005C6140" w:rsidRPr="005C6140" w:rsidTr="005C6140">
        <w:tc>
          <w:tcPr>
            <w:tcW w:w="3078" w:type="dxa"/>
            <w:shd w:val="clear" w:color="auto" w:fill="auto"/>
          </w:tcPr>
          <w:p w:rsidR="00A51628" w:rsidRPr="007F364D" w:rsidRDefault="00A51628" w:rsidP="00A51628">
            <w:r w:rsidRPr="007F364D">
              <w:t>Anthracite Coal and Coke</w:t>
            </w:r>
          </w:p>
        </w:tc>
        <w:tc>
          <w:tcPr>
            <w:tcW w:w="1440" w:type="dxa"/>
            <w:shd w:val="clear" w:color="auto" w:fill="auto"/>
            <w:vAlign w:val="center"/>
          </w:tcPr>
          <w:p w:rsidR="00A51628" w:rsidRPr="007F364D" w:rsidRDefault="00A51628" w:rsidP="005C6140">
            <w:pPr>
              <w:jc w:val="center"/>
            </w:pPr>
            <w:r w:rsidRPr="007F364D">
              <w:t>1.2</w:t>
            </w:r>
          </w:p>
        </w:tc>
        <w:tc>
          <w:tcPr>
            <w:tcW w:w="1440" w:type="dxa"/>
            <w:shd w:val="clear" w:color="auto" w:fill="auto"/>
            <w:vAlign w:val="center"/>
          </w:tcPr>
          <w:p w:rsidR="00A51628" w:rsidRPr="007F364D" w:rsidRDefault="00A51628" w:rsidP="005C6140">
            <w:pPr>
              <w:jc w:val="center"/>
            </w:pPr>
            <w:r w:rsidRPr="007F364D">
              <w:t>1.2</w:t>
            </w:r>
          </w:p>
        </w:tc>
        <w:tc>
          <w:tcPr>
            <w:tcW w:w="1440" w:type="dxa"/>
            <w:shd w:val="clear" w:color="auto" w:fill="auto"/>
            <w:vAlign w:val="center"/>
          </w:tcPr>
          <w:p w:rsidR="00A51628" w:rsidRPr="007F364D" w:rsidRDefault="00A51628" w:rsidP="005C6140">
            <w:pPr>
              <w:jc w:val="center"/>
            </w:pPr>
            <w:r w:rsidRPr="007F364D">
              <w:t>1.2</w:t>
            </w:r>
          </w:p>
        </w:tc>
        <w:tc>
          <w:tcPr>
            <w:tcW w:w="1458" w:type="dxa"/>
            <w:shd w:val="clear" w:color="auto" w:fill="auto"/>
            <w:vAlign w:val="center"/>
          </w:tcPr>
          <w:p w:rsidR="00A51628" w:rsidRPr="007F364D" w:rsidRDefault="00A51628" w:rsidP="005C6140">
            <w:pPr>
              <w:jc w:val="center"/>
            </w:pPr>
            <w:r w:rsidRPr="007F364D">
              <w:t>1.2</w:t>
            </w:r>
          </w:p>
        </w:tc>
      </w:tr>
      <w:tr w:rsidR="005C6140" w:rsidRPr="005C6140" w:rsidTr="005C6140">
        <w:tc>
          <w:tcPr>
            <w:tcW w:w="3078" w:type="dxa"/>
            <w:shd w:val="clear" w:color="auto" w:fill="auto"/>
          </w:tcPr>
          <w:p w:rsidR="00A51628" w:rsidRPr="007F364D" w:rsidRDefault="00A51628" w:rsidP="00A51628">
            <w:r w:rsidRPr="007F364D">
              <w:t>All other solid Fuels</w:t>
            </w:r>
          </w:p>
        </w:tc>
        <w:tc>
          <w:tcPr>
            <w:tcW w:w="1440" w:type="dxa"/>
            <w:shd w:val="clear" w:color="auto" w:fill="auto"/>
            <w:vAlign w:val="center"/>
          </w:tcPr>
          <w:p w:rsidR="00A51628" w:rsidRPr="007F364D" w:rsidRDefault="00A51628" w:rsidP="005C6140">
            <w:pPr>
              <w:jc w:val="center"/>
            </w:pPr>
            <w:r w:rsidRPr="007F364D">
              <w:t>1.5</w:t>
            </w:r>
          </w:p>
        </w:tc>
        <w:tc>
          <w:tcPr>
            <w:tcW w:w="1440" w:type="dxa"/>
            <w:shd w:val="clear" w:color="auto" w:fill="auto"/>
            <w:vAlign w:val="center"/>
          </w:tcPr>
          <w:p w:rsidR="00A51628" w:rsidRPr="007F364D" w:rsidRDefault="00A51628" w:rsidP="005C6140">
            <w:pPr>
              <w:jc w:val="center"/>
            </w:pPr>
            <w:r w:rsidRPr="007F364D">
              <w:t>1.5</w:t>
            </w:r>
          </w:p>
        </w:tc>
        <w:tc>
          <w:tcPr>
            <w:tcW w:w="1440" w:type="dxa"/>
            <w:shd w:val="clear" w:color="auto" w:fill="auto"/>
            <w:vAlign w:val="center"/>
          </w:tcPr>
          <w:p w:rsidR="00A51628" w:rsidRPr="007F364D" w:rsidRDefault="00A51628" w:rsidP="005C6140">
            <w:pPr>
              <w:jc w:val="center"/>
            </w:pPr>
            <w:r w:rsidRPr="007F364D">
              <w:t>0.3</w:t>
            </w:r>
          </w:p>
        </w:tc>
        <w:tc>
          <w:tcPr>
            <w:tcW w:w="1458" w:type="dxa"/>
            <w:shd w:val="clear" w:color="auto" w:fill="auto"/>
            <w:vAlign w:val="center"/>
          </w:tcPr>
          <w:p w:rsidR="00A51628" w:rsidRDefault="00A51628" w:rsidP="005C6140">
            <w:pPr>
              <w:jc w:val="center"/>
            </w:pPr>
            <w:r w:rsidRPr="007F364D">
              <w:t>0.3</w:t>
            </w:r>
          </w:p>
        </w:tc>
      </w:tr>
    </w:tbl>
    <w:p w:rsidR="00CD4C7C" w:rsidRDefault="00CD4C7C" w:rsidP="00D41EF4">
      <w:pPr>
        <w:ind w:left="720" w:hanging="720"/>
        <w:rPr>
          <w:szCs w:val="24"/>
        </w:rPr>
      </w:pPr>
    </w:p>
    <w:p w:rsidR="00D41EF4" w:rsidRDefault="00D41EF4" w:rsidP="00D41EF4">
      <w:pPr>
        <w:ind w:left="720" w:hanging="720"/>
        <w:rPr>
          <w:szCs w:val="24"/>
        </w:rPr>
      </w:pPr>
      <w:r>
        <w:rPr>
          <w:szCs w:val="24"/>
        </w:rPr>
        <w:t>(d)</w:t>
      </w:r>
      <w:r>
        <w:rPr>
          <w:szCs w:val="24"/>
        </w:rPr>
        <w:tab/>
      </w:r>
      <w:r w:rsidR="000B202B" w:rsidRPr="0060455B">
        <w:rPr>
          <w:szCs w:val="24"/>
        </w:rPr>
        <w:t>On and before December 14, 2012, any solid fuel-fired steam generating unit which is located in Zone Three or Zone Four, having a rated hourly capacity of greater than 200,000,000 British Thermal Units (BTU) gross heat input and any group of units at one facility which is located in Zone Three or Zone Four, having a combined rated hourly capacity of greater than 450,000,000 British Thermal Units (BTU) gross heat input, and which were in operation prior to May 6, 1968, shall be subject to the standards specified in Table 1 for Zone One.</w:t>
      </w:r>
    </w:p>
    <w:p w:rsidR="00D41EF4" w:rsidRDefault="00D41EF4" w:rsidP="00D41EF4">
      <w:pPr>
        <w:ind w:left="720" w:hanging="720"/>
        <w:rPr>
          <w:szCs w:val="24"/>
        </w:rPr>
      </w:pPr>
    </w:p>
    <w:p w:rsidR="00D41EF4" w:rsidRDefault="00D41EF4" w:rsidP="00D41EF4">
      <w:pPr>
        <w:ind w:left="720" w:hanging="720"/>
        <w:rPr>
          <w:szCs w:val="24"/>
        </w:rPr>
      </w:pPr>
      <w:r>
        <w:rPr>
          <w:szCs w:val="24"/>
        </w:rPr>
        <w:t>(e)</w:t>
      </w:r>
      <w:r>
        <w:rPr>
          <w:szCs w:val="24"/>
        </w:rPr>
        <w:tab/>
      </w:r>
      <w:r w:rsidR="000B202B" w:rsidRPr="0060455B">
        <w:rPr>
          <w:szCs w:val="24"/>
        </w:rPr>
        <w:t xml:space="preserve">On and before December 14, 2012, any person responsible for the use of bituminous coal who believes that bituminous coal containing a maximum allowable percent sulfur by weight as set forth in Table 1 cannot be used in a specific steam generating unit may submit data to the Department setting forth justification for a less restrictive percent of sulfur content by weight in bituminous coal. </w:t>
      </w:r>
      <w:r>
        <w:rPr>
          <w:szCs w:val="24"/>
        </w:rPr>
        <w:t xml:space="preserve"> </w:t>
      </w:r>
      <w:r w:rsidR="000B202B" w:rsidRPr="0060455B">
        <w:rPr>
          <w:szCs w:val="24"/>
        </w:rPr>
        <w:t xml:space="preserve">The Department may authorize the use of a less restrictive percent of sulfur by weight in bituminous coal. </w:t>
      </w:r>
      <w:r>
        <w:rPr>
          <w:szCs w:val="24"/>
        </w:rPr>
        <w:t xml:space="preserve"> </w:t>
      </w:r>
      <w:r w:rsidR="000B202B" w:rsidRPr="0060455B">
        <w:rPr>
          <w:szCs w:val="24"/>
        </w:rPr>
        <w:t>Any less restrictive percent of sulfur content by weight in bituminous coal authorized by the Department shall not exceed 1.5 percent, except as provided in (f) below.</w:t>
      </w:r>
    </w:p>
    <w:p w:rsidR="00D41EF4" w:rsidRDefault="00D41EF4" w:rsidP="00D41EF4">
      <w:pPr>
        <w:ind w:left="720" w:hanging="720"/>
        <w:rPr>
          <w:szCs w:val="24"/>
        </w:rPr>
      </w:pPr>
    </w:p>
    <w:p w:rsidR="00D41EF4" w:rsidRDefault="000B202B" w:rsidP="00D41EF4">
      <w:pPr>
        <w:ind w:left="720" w:hanging="720"/>
        <w:rPr>
          <w:szCs w:val="24"/>
        </w:rPr>
      </w:pPr>
      <w:r w:rsidRPr="0060455B">
        <w:rPr>
          <w:szCs w:val="24"/>
        </w:rPr>
        <w:t>(f)</w:t>
      </w:r>
      <w:r w:rsidR="00D41EF4">
        <w:rPr>
          <w:szCs w:val="24"/>
        </w:rPr>
        <w:tab/>
      </w:r>
      <w:r w:rsidRPr="0060455B">
        <w:rPr>
          <w:szCs w:val="24"/>
        </w:rPr>
        <w:t>On and before December 14, 2012, the Department may authorize the use of bituminous coal not exceeding a maximum sulfur content of 3.5 percent by weight (dry basis) at existing facilities in Zone One if:</w:t>
      </w:r>
    </w:p>
    <w:p w:rsidR="00D41EF4" w:rsidRDefault="00D41EF4" w:rsidP="00D41EF4">
      <w:pPr>
        <w:ind w:left="720" w:hanging="720"/>
        <w:rPr>
          <w:szCs w:val="24"/>
        </w:rPr>
      </w:pPr>
    </w:p>
    <w:p w:rsidR="00D41EF4" w:rsidRDefault="00D41EF4" w:rsidP="00D41EF4">
      <w:pPr>
        <w:ind w:left="1440" w:hanging="720"/>
        <w:rPr>
          <w:szCs w:val="24"/>
        </w:rPr>
      </w:pPr>
      <w:r>
        <w:rPr>
          <w:szCs w:val="24"/>
        </w:rPr>
        <w:lastRenderedPageBreak/>
        <w:t>1.</w:t>
      </w:r>
      <w:r>
        <w:rPr>
          <w:szCs w:val="24"/>
        </w:rPr>
        <w:tab/>
      </w:r>
      <w:r w:rsidR="000B202B" w:rsidRPr="0060455B">
        <w:rPr>
          <w:szCs w:val="24"/>
        </w:rPr>
        <w:t>The person responsible for the use of bituminous coal demonstrates that bituminous coal, containing one percent sulfur or less by weight and suitable for use in the specific steam generating unit, is not reasonably available in sufficient quantities; and</w:t>
      </w:r>
    </w:p>
    <w:p w:rsidR="00D41EF4" w:rsidRDefault="00D41EF4" w:rsidP="00D41EF4">
      <w:pPr>
        <w:ind w:left="1440" w:hanging="720"/>
        <w:rPr>
          <w:szCs w:val="24"/>
        </w:rPr>
      </w:pPr>
    </w:p>
    <w:p w:rsidR="00D41EF4" w:rsidRDefault="000B202B" w:rsidP="00D41EF4">
      <w:pPr>
        <w:ind w:left="1440" w:hanging="720"/>
        <w:rPr>
          <w:szCs w:val="24"/>
        </w:rPr>
      </w:pPr>
      <w:r w:rsidRPr="0060455B">
        <w:rPr>
          <w:szCs w:val="24"/>
        </w:rPr>
        <w:t>2.</w:t>
      </w:r>
      <w:r w:rsidR="00D41EF4">
        <w:rPr>
          <w:szCs w:val="24"/>
        </w:rPr>
        <w:tab/>
      </w:r>
      <w:r w:rsidRPr="0060455B">
        <w:rPr>
          <w:szCs w:val="24"/>
        </w:rPr>
        <w:t>Sulfur dioxide levels in the ambient atmosphere will at no time exceed or jeopardize the ambient air quality standards set forth in N.J.A.C. 7:27-13; and</w:t>
      </w:r>
    </w:p>
    <w:p w:rsidR="00D41EF4" w:rsidRDefault="00D41EF4" w:rsidP="00D41EF4">
      <w:pPr>
        <w:ind w:left="1440" w:hanging="720"/>
        <w:rPr>
          <w:szCs w:val="24"/>
        </w:rPr>
      </w:pPr>
    </w:p>
    <w:p w:rsidR="00D41EF4" w:rsidRDefault="000B202B" w:rsidP="00D41EF4">
      <w:pPr>
        <w:ind w:left="1440" w:hanging="720"/>
        <w:rPr>
          <w:szCs w:val="24"/>
        </w:rPr>
      </w:pPr>
      <w:r w:rsidRPr="0060455B">
        <w:rPr>
          <w:szCs w:val="24"/>
        </w:rPr>
        <w:t>3.</w:t>
      </w:r>
      <w:r w:rsidR="00D41EF4">
        <w:rPr>
          <w:szCs w:val="24"/>
        </w:rPr>
        <w:tab/>
      </w:r>
      <w:r w:rsidRPr="0060455B">
        <w:rPr>
          <w:szCs w:val="24"/>
        </w:rPr>
        <w:t>The sulfur content of the bituminous coal burned at the facility represents the minimum sulfur content coal which can be used by the facility and is reasonably available in sufficient quantity; and</w:t>
      </w:r>
    </w:p>
    <w:p w:rsidR="00D41EF4" w:rsidRDefault="00D41EF4" w:rsidP="00D41EF4">
      <w:pPr>
        <w:ind w:left="1440" w:hanging="720"/>
        <w:rPr>
          <w:szCs w:val="24"/>
        </w:rPr>
      </w:pPr>
    </w:p>
    <w:p w:rsidR="00D41EF4" w:rsidRDefault="000B202B" w:rsidP="00D41EF4">
      <w:pPr>
        <w:ind w:left="1440" w:hanging="720"/>
        <w:rPr>
          <w:szCs w:val="24"/>
        </w:rPr>
      </w:pPr>
      <w:r w:rsidRPr="0060455B">
        <w:rPr>
          <w:szCs w:val="24"/>
        </w:rPr>
        <w:t>4.</w:t>
      </w:r>
      <w:r w:rsidR="00D41EF4">
        <w:rPr>
          <w:szCs w:val="24"/>
        </w:rPr>
        <w:tab/>
      </w:r>
      <w:r w:rsidRPr="0060455B">
        <w:rPr>
          <w:szCs w:val="24"/>
        </w:rPr>
        <w:t>The person responsible for the use of bituminous coal agrees to such monitoring and reporting requirements as the Department may deem appropriate to ensure compliance with the conditions set forth in this subsection; and</w:t>
      </w:r>
    </w:p>
    <w:p w:rsidR="00D41EF4" w:rsidRDefault="00D41EF4" w:rsidP="00D41EF4">
      <w:pPr>
        <w:ind w:left="1440" w:hanging="720"/>
        <w:rPr>
          <w:szCs w:val="24"/>
        </w:rPr>
      </w:pPr>
    </w:p>
    <w:p w:rsidR="00D41EF4" w:rsidRDefault="000B202B" w:rsidP="00D41EF4">
      <w:pPr>
        <w:ind w:left="1440" w:hanging="720"/>
        <w:rPr>
          <w:szCs w:val="24"/>
        </w:rPr>
      </w:pPr>
      <w:r w:rsidRPr="0060455B">
        <w:rPr>
          <w:szCs w:val="24"/>
        </w:rPr>
        <w:t>5.</w:t>
      </w:r>
      <w:r w:rsidR="00D41EF4">
        <w:rPr>
          <w:szCs w:val="24"/>
        </w:rPr>
        <w:tab/>
      </w:r>
      <w:r w:rsidRPr="0060455B">
        <w:rPr>
          <w:szCs w:val="24"/>
        </w:rPr>
        <w:t>The person responsible for the use of bituminous coal submits to the Department for such authorization an application which considers and addresses as a minimum, in addition to the above, the following criteria:</w:t>
      </w:r>
    </w:p>
    <w:p w:rsidR="00D41EF4" w:rsidRDefault="00D41EF4" w:rsidP="00D41EF4">
      <w:pPr>
        <w:ind w:left="1440" w:hanging="720"/>
        <w:rPr>
          <w:szCs w:val="24"/>
        </w:rPr>
      </w:pPr>
    </w:p>
    <w:p w:rsidR="00D41EF4" w:rsidRDefault="000B202B" w:rsidP="00D41EF4">
      <w:pPr>
        <w:ind w:left="2160" w:hanging="720"/>
        <w:rPr>
          <w:szCs w:val="24"/>
        </w:rPr>
      </w:pPr>
      <w:proofErr w:type="spellStart"/>
      <w:r w:rsidRPr="0060455B">
        <w:rPr>
          <w:szCs w:val="24"/>
        </w:rPr>
        <w:t>i</w:t>
      </w:r>
      <w:proofErr w:type="spellEnd"/>
      <w:r w:rsidRPr="0060455B">
        <w:rPr>
          <w:szCs w:val="24"/>
        </w:rPr>
        <w:t>.</w:t>
      </w:r>
      <w:r w:rsidR="00D41EF4">
        <w:rPr>
          <w:szCs w:val="24"/>
        </w:rPr>
        <w:tab/>
      </w:r>
      <w:r w:rsidRPr="0060455B">
        <w:rPr>
          <w:szCs w:val="24"/>
        </w:rPr>
        <w:t>Physical surroundings of the coal-fired steam generating unit;</w:t>
      </w:r>
    </w:p>
    <w:p w:rsidR="00D41EF4" w:rsidRDefault="00D41EF4" w:rsidP="00D41EF4">
      <w:pPr>
        <w:ind w:left="2160" w:hanging="720"/>
        <w:rPr>
          <w:szCs w:val="24"/>
        </w:rPr>
      </w:pPr>
    </w:p>
    <w:p w:rsidR="00D41EF4" w:rsidRDefault="000B202B" w:rsidP="00D41EF4">
      <w:pPr>
        <w:ind w:left="2160" w:hanging="720"/>
        <w:rPr>
          <w:szCs w:val="24"/>
        </w:rPr>
      </w:pPr>
      <w:r w:rsidRPr="0060455B">
        <w:rPr>
          <w:szCs w:val="24"/>
        </w:rPr>
        <w:t>ii.</w:t>
      </w:r>
      <w:r w:rsidR="00D41EF4">
        <w:rPr>
          <w:szCs w:val="24"/>
        </w:rPr>
        <w:tab/>
      </w:r>
      <w:r w:rsidRPr="0060455B">
        <w:rPr>
          <w:szCs w:val="24"/>
        </w:rPr>
        <w:t>Population density of the surrounding area;</w:t>
      </w:r>
    </w:p>
    <w:p w:rsidR="00D41EF4" w:rsidRDefault="00D41EF4" w:rsidP="00D41EF4">
      <w:pPr>
        <w:ind w:left="2160" w:hanging="720"/>
        <w:rPr>
          <w:szCs w:val="24"/>
        </w:rPr>
      </w:pPr>
    </w:p>
    <w:p w:rsidR="00D41EF4" w:rsidRDefault="000B202B" w:rsidP="00D41EF4">
      <w:pPr>
        <w:ind w:left="2160" w:hanging="720"/>
        <w:rPr>
          <w:szCs w:val="24"/>
        </w:rPr>
      </w:pPr>
      <w:r w:rsidRPr="0060455B">
        <w:rPr>
          <w:szCs w:val="24"/>
        </w:rPr>
        <w:t>iii.</w:t>
      </w:r>
      <w:r w:rsidR="00D41EF4">
        <w:rPr>
          <w:szCs w:val="24"/>
        </w:rPr>
        <w:tab/>
      </w:r>
      <w:r w:rsidRPr="0060455B">
        <w:rPr>
          <w:szCs w:val="24"/>
        </w:rPr>
        <w:t>Dispersion characteristics of the source;</w:t>
      </w:r>
    </w:p>
    <w:p w:rsidR="00D41EF4" w:rsidRDefault="00D41EF4" w:rsidP="00D41EF4">
      <w:pPr>
        <w:ind w:left="2160" w:hanging="720"/>
        <w:rPr>
          <w:szCs w:val="24"/>
        </w:rPr>
      </w:pPr>
    </w:p>
    <w:p w:rsidR="00D41EF4" w:rsidRDefault="000B202B" w:rsidP="00D41EF4">
      <w:pPr>
        <w:ind w:left="2160" w:hanging="720"/>
        <w:rPr>
          <w:szCs w:val="24"/>
        </w:rPr>
      </w:pPr>
      <w:r w:rsidRPr="0060455B">
        <w:rPr>
          <w:szCs w:val="24"/>
        </w:rPr>
        <w:t>iv.</w:t>
      </w:r>
      <w:r w:rsidR="00D41EF4">
        <w:rPr>
          <w:szCs w:val="24"/>
        </w:rPr>
        <w:tab/>
      </w:r>
      <w:r w:rsidRPr="0060455B">
        <w:rPr>
          <w:szCs w:val="24"/>
        </w:rPr>
        <w:t>Topography of the immediate vicinity; and</w:t>
      </w:r>
    </w:p>
    <w:p w:rsidR="00D41EF4" w:rsidRDefault="00D41EF4" w:rsidP="00D41EF4">
      <w:pPr>
        <w:ind w:left="2160" w:hanging="720"/>
        <w:rPr>
          <w:szCs w:val="24"/>
        </w:rPr>
      </w:pPr>
    </w:p>
    <w:p w:rsidR="00D41EF4" w:rsidRDefault="000B202B" w:rsidP="00D41EF4">
      <w:pPr>
        <w:ind w:left="2160" w:hanging="720"/>
        <w:rPr>
          <w:szCs w:val="24"/>
        </w:rPr>
      </w:pPr>
      <w:r w:rsidRPr="0060455B">
        <w:rPr>
          <w:szCs w:val="24"/>
        </w:rPr>
        <w:t>v.</w:t>
      </w:r>
      <w:r w:rsidR="00D41EF4">
        <w:rPr>
          <w:szCs w:val="24"/>
        </w:rPr>
        <w:tab/>
      </w:r>
      <w:r w:rsidRPr="0060455B">
        <w:rPr>
          <w:szCs w:val="24"/>
        </w:rPr>
        <w:t>Aesthetic and nuisance effects.</w:t>
      </w:r>
    </w:p>
    <w:p w:rsidR="00D41EF4" w:rsidRDefault="00D41EF4" w:rsidP="00D41EF4">
      <w:pPr>
        <w:ind w:left="2160" w:hanging="720"/>
        <w:rPr>
          <w:szCs w:val="24"/>
        </w:rPr>
      </w:pPr>
    </w:p>
    <w:p w:rsidR="00D41EF4" w:rsidRDefault="000B202B" w:rsidP="00D41EF4">
      <w:pPr>
        <w:ind w:left="720" w:hanging="720"/>
        <w:rPr>
          <w:szCs w:val="24"/>
        </w:rPr>
      </w:pPr>
      <w:r w:rsidRPr="0060455B">
        <w:rPr>
          <w:szCs w:val="24"/>
        </w:rPr>
        <w:t>(g)</w:t>
      </w:r>
      <w:r w:rsidR="00D41EF4">
        <w:rPr>
          <w:szCs w:val="24"/>
        </w:rPr>
        <w:tab/>
      </w:r>
      <w:r w:rsidRPr="0060455B">
        <w:rPr>
          <w:szCs w:val="24"/>
        </w:rPr>
        <w:t>On and before December 14, 2012, authorizations granted pursuant to (f) above shall be valid for a period not to exceed five years from the date of issuance and may be renewed upon application to the Department, setting forth reasons and justifications for such renewal, including a demonstration of continued conformance with the provisions of (f) above.</w:t>
      </w:r>
    </w:p>
    <w:p w:rsidR="00D41EF4" w:rsidRDefault="00D41EF4" w:rsidP="00D41EF4">
      <w:pPr>
        <w:ind w:left="720" w:hanging="720"/>
        <w:rPr>
          <w:szCs w:val="24"/>
        </w:rPr>
      </w:pPr>
    </w:p>
    <w:p w:rsidR="00D41EF4" w:rsidRDefault="000B202B" w:rsidP="00D41EF4">
      <w:pPr>
        <w:ind w:left="720" w:hanging="720"/>
        <w:rPr>
          <w:szCs w:val="24"/>
        </w:rPr>
      </w:pPr>
      <w:r w:rsidRPr="0060455B">
        <w:rPr>
          <w:szCs w:val="24"/>
        </w:rPr>
        <w:t>(h)</w:t>
      </w:r>
      <w:r w:rsidR="00D41EF4">
        <w:rPr>
          <w:szCs w:val="24"/>
        </w:rPr>
        <w:tab/>
      </w:r>
      <w:r w:rsidRPr="0060455B">
        <w:rPr>
          <w:szCs w:val="24"/>
        </w:rPr>
        <w:t>On and after December 15, 2012, unless otherwise specified in an enforceable agreement with the Department, the owner or operator of any source that combusts solid fuel shall cause it to emit SO</w:t>
      </w:r>
      <w:r w:rsidRPr="0060455B">
        <w:rPr>
          <w:szCs w:val="24"/>
          <w:vertAlign w:val="subscript"/>
        </w:rPr>
        <w:t>2</w:t>
      </w:r>
      <w:r w:rsidRPr="0060455B">
        <w:rPr>
          <w:szCs w:val="24"/>
        </w:rPr>
        <w:t xml:space="preserve"> at a 24-hour emission rate no greater than 0.250 pounds per 1,000,000 BTU gross heat input for every calendar day, and at a 30-calendar-day rolling average emission rate no greater than 0.150 pounds per 1,000,000 BTU gross heat input. </w:t>
      </w:r>
      <w:r w:rsidR="00D41EF4">
        <w:rPr>
          <w:szCs w:val="24"/>
        </w:rPr>
        <w:t xml:space="preserve"> </w:t>
      </w:r>
      <w:r w:rsidRPr="0060455B">
        <w:rPr>
          <w:szCs w:val="24"/>
        </w:rPr>
        <w:t>The owner or operator shall determine each 24-hour emission rate and each 30-calendar-day rolling average emission rate in accordance with N.J.A.C. 7:27-10.5.</w:t>
      </w:r>
    </w:p>
    <w:p w:rsidR="00D41EF4" w:rsidRDefault="00D41EF4" w:rsidP="00D41EF4">
      <w:pPr>
        <w:ind w:left="720" w:hanging="720"/>
        <w:rPr>
          <w:szCs w:val="24"/>
        </w:rPr>
      </w:pPr>
    </w:p>
    <w:p w:rsidR="00D41EF4" w:rsidRDefault="000B202B" w:rsidP="00CD4C7C">
      <w:pPr>
        <w:widowControl/>
        <w:ind w:left="720" w:hanging="720"/>
        <w:rPr>
          <w:szCs w:val="24"/>
        </w:rPr>
      </w:pPr>
      <w:r w:rsidRPr="0060455B">
        <w:rPr>
          <w:szCs w:val="24"/>
        </w:rPr>
        <w:t>(</w:t>
      </w:r>
      <w:proofErr w:type="spellStart"/>
      <w:r w:rsidRPr="0060455B">
        <w:rPr>
          <w:i/>
          <w:szCs w:val="24"/>
        </w:rPr>
        <w:t>i</w:t>
      </w:r>
      <w:proofErr w:type="spellEnd"/>
      <w:r w:rsidRPr="0060455B">
        <w:rPr>
          <w:szCs w:val="24"/>
        </w:rPr>
        <w:t>)</w:t>
      </w:r>
      <w:r w:rsidR="00D41EF4">
        <w:rPr>
          <w:szCs w:val="24"/>
        </w:rPr>
        <w:tab/>
      </w:r>
      <w:r w:rsidRPr="0060455B">
        <w:rPr>
          <w:szCs w:val="24"/>
        </w:rPr>
        <w:t>Any source that combusts solid fuel, and that is constructed, installed, reconstructed or modified, is also subject to state-of-the-art requirements at N.J.A.C. 7:27-8.12 and 22.35, lowest achievable emission rate requirements at N.J.A.C. 7:27-18, and best available control technology requirements at 40 CFR 52.21 incorporated herein by reference, as applicable.</w:t>
      </w:r>
    </w:p>
    <w:p w:rsidR="00D41EF4" w:rsidRDefault="00D41EF4" w:rsidP="00D41EF4">
      <w:pPr>
        <w:ind w:left="720" w:hanging="720"/>
        <w:rPr>
          <w:szCs w:val="24"/>
        </w:rPr>
      </w:pPr>
    </w:p>
    <w:p w:rsidR="000B202B" w:rsidRPr="0060455B" w:rsidRDefault="000B202B" w:rsidP="00D41EF4">
      <w:pPr>
        <w:ind w:left="720" w:hanging="720"/>
        <w:rPr>
          <w:szCs w:val="24"/>
        </w:rPr>
      </w:pPr>
      <w:r w:rsidRPr="0060455B">
        <w:rPr>
          <w:szCs w:val="24"/>
        </w:rPr>
        <w:t>(j)</w:t>
      </w:r>
      <w:r w:rsidR="00D41EF4">
        <w:rPr>
          <w:szCs w:val="24"/>
        </w:rPr>
        <w:tab/>
      </w:r>
      <w:r w:rsidRPr="0060455B">
        <w:rPr>
          <w:szCs w:val="24"/>
        </w:rPr>
        <w:t xml:space="preserve">The owner or operator of a boiler that is subject to (h) above may request up to a one-year extension to the December 15, 2012 compliance deadline required by (h) by sending a written request to the address at N.J.A.C. 7:27-10.5(d). </w:t>
      </w:r>
      <w:r w:rsidR="00D41EF4">
        <w:rPr>
          <w:szCs w:val="24"/>
        </w:rPr>
        <w:t xml:space="preserve"> </w:t>
      </w:r>
      <w:r w:rsidRPr="0060455B">
        <w:rPr>
          <w:szCs w:val="24"/>
        </w:rPr>
        <w:t xml:space="preserve">The request shall document the reasons the extension is needed. </w:t>
      </w:r>
      <w:r w:rsidR="00D41EF4">
        <w:rPr>
          <w:szCs w:val="24"/>
        </w:rPr>
        <w:t xml:space="preserve"> </w:t>
      </w:r>
      <w:r w:rsidRPr="0060455B">
        <w:rPr>
          <w:szCs w:val="24"/>
        </w:rPr>
        <w:t>The Department will approve an extension request only if compliance by December 15, 2012 is not possible due to circumstances beyond the control of the owner or operator that are not reasonably foreseeable, including, but not limited to, the unavailability of a control apparatus needed to comply with the December 15, 2012 compliance deadline or a contractor needed to install the control apparatus.</w:t>
      </w:r>
    </w:p>
    <w:p w:rsidR="000B202B" w:rsidRPr="0060455B" w:rsidRDefault="000B202B" w:rsidP="0060455B">
      <w:pPr>
        <w:pStyle w:val="NoSpacing"/>
        <w:rPr>
          <w:szCs w:val="24"/>
        </w:rPr>
      </w:pPr>
    </w:p>
    <w:p w:rsidR="00800393" w:rsidRPr="0060455B" w:rsidRDefault="00800393" w:rsidP="0060455B">
      <w:pPr>
        <w:pStyle w:val="NoSpacing"/>
        <w:rPr>
          <w:b/>
          <w:szCs w:val="24"/>
        </w:rPr>
      </w:pPr>
      <w:r w:rsidRPr="0060455B">
        <w:rPr>
          <w:b/>
          <w:szCs w:val="24"/>
        </w:rPr>
        <w:t>7:27-10.3</w:t>
      </w:r>
      <w:r w:rsidR="00CC66FD" w:rsidRPr="0060455B">
        <w:rPr>
          <w:b/>
          <w:szCs w:val="24"/>
        </w:rPr>
        <w:tab/>
      </w:r>
      <w:r w:rsidRPr="0060455B">
        <w:rPr>
          <w:b/>
          <w:szCs w:val="24"/>
        </w:rPr>
        <w:t>Expansion, reconstruction or construction of solid fuel burning units</w:t>
      </w:r>
      <w:bookmarkEnd w:id="8"/>
      <w:r w:rsidR="000C0D72" w:rsidRPr="0060455B">
        <w:rPr>
          <w:b/>
          <w:szCs w:val="24"/>
        </w:rPr>
        <w:fldChar w:fldCharType="begin"/>
      </w:r>
      <w:r w:rsidR="000C0D72" w:rsidRPr="0060455B">
        <w:rPr>
          <w:b/>
          <w:szCs w:val="24"/>
        </w:rPr>
        <w:instrText xml:space="preserve"> TC "</w:instrText>
      </w:r>
      <w:bookmarkStart w:id="9" w:name="_Toc229458222"/>
      <w:r w:rsidR="000C0D72" w:rsidRPr="0060455B">
        <w:rPr>
          <w:b/>
          <w:szCs w:val="24"/>
        </w:rPr>
        <w:instrText>7:27-10.3</w:instrText>
      </w:r>
      <w:r w:rsidR="000C0D72" w:rsidRPr="0060455B">
        <w:rPr>
          <w:b/>
          <w:szCs w:val="24"/>
        </w:rPr>
        <w:tab/>
        <w:instrText>Expansion, reconstruction or construction of solid fuel burning units</w:instrText>
      </w:r>
      <w:bookmarkEnd w:id="9"/>
      <w:r w:rsidR="000C0D72" w:rsidRPr="0060455B">
        <w:rPr>
          <w:b/>
          <w:szCs w:val="24"/>
        </w:rPr>
        <w:instrText xml:space="preserve">" \f C \l "1" </w:instrText>
      </w:r>
      <w:r w:rsidR="000C0D72" w:rsidRPr="0060455B">
        <w:rPr>
          <w:b/>
          <w:szCs w:val="24"/>
        </w:rPr>
        <w:fldChar w:fldCharType="end"/>
      </w:r>
      <w:r w:rsidRPr="0060455B">
        <w:rPr>
          <w:b/>
          <w:szCs w:val="24"/>
        </w:rPr>
        <w:t xml:space="preserve"> </w:t>
      </w:r>
    </w:p>
    <w:p w:rsidR="00800393" w:rsidRPr="0060455B" w:rsidRDefault="00800393" w:rsidP="0060455B">
      <w:pPr>
        <w:pStyle w:val="Default"/>
      </w:pPr>
    </w:p>
    <w:p w:rsidR="00800393" w:rsidRPr="0060455B" w:rsidRDefault="00800393" w:rsidP="0060455B">
      <w:pPr>
        <w:pStyle w:val="Default"/>
        <w:ind w:left="720" w:hanging="720"/>
        <w:jc w:val="both"/>
      </w:pPr>
      <w:r w:rsidRPr="0060455B">
        <w:t>(a)</w:t>
      </w:r>
      <w:r w:rsidR="00CC66FD" w:rsidRPr="0060455B">
        <w:tab/>
      </w:r>
      <w:r w:rsidRPr="0060455B">
        <w:t xml:space="preserve">No person shall expand or reconstruct an existing solid fuel-fired steam generating unit or construct a new solid fuel-fired steam generating unit having a rated hourly capacity that exceeds, or would exceed, </w:t>
      </w:r>
      <w:proofErr w:type="gramStart"/>
      <w:r w:rsidRPr="0060455B">
        <w:t>as a result of</w:t>
      </w:r>
      <w:proofErr w:type="gramEnd"/>
      <w:r w:rsidRPr="0060455B">
        <w:t xml:space="preserve"> expansion, construction, and/or reconstruction, 250,000,000 British Thermal Units (BTU) gross heat input unless it is demonstrated to the Department that:</w:t>
      </w:r>
    </w:p>
    <w:p w:rsidR="00800393" w:rsidRPr="0060455B" w:rsidRDefault="00800393" w:rsidP="0060455B">
      <w:pPr>
        <w:pStyle w:val="Default"/>
        <w:ind w:left="1440" w:hanging="720"/>
      </w:pPr>
    </w:p>
    <w:p w:rsidR="00800393" w:rsidRPr="0060455B" w:rsidRDefault="00800393" w:rsidP="0060455B">
      <w:pPr>
        <w:pStyle w:val="Default"/>
        <w:ind w:left="1440" w:hanging="720"/>
        <w:jc w:val="both"/>
        <w:rPr>
          <w:color w:val="auto"/>
        </w:rPr>
      </w:pPr>
      <w:r w:rsidRPr="0060455B">
        <w:rPr>
          <w:color w:val="auto"/>
        </w:rPr>
        <w:t>1.</w:t>
      </w:r>
      <w:r w:rsidR="00CC66FD" w:rsidRPr="0060455B">
        <w:rPr>
          <w:color w:val="auto"/>
        </w:rPr>
        <w:tab/>
      </w:r>
      <w:r w:rsidRPr="0060455B">
        <w:rPr>
          <w:color w:val="auto"/>
        </w:rPr>
        <w:t xml:space="preserve">The sulfur dioxide emissions caused by the combustion of solid fuel from any stack or chimney into the outdoor atmosphere, except as provided under (a)2 or (a)3 below, do not exceed 0.60 pounds of sulfur dioxide per 1,000,000 British Thermal Units (BTU) gross heat input and 30 percent of the potential combustion emission rate of sulfur dioxide determined as a 30-day rolling average; or </w:t>
      </w:r>
    </w:p>
    <w:p w:rsidR="00800393" w:rsidRPr="0060455B" w:rsidRDefault="00800393" w:rsidP="0060455B">
      <w:pPr>
        <w:pStyle w:val="Default"/>
        <w:ind w:left="1440" w:hanging="720"/>
        <w:jc w:val="both"/>
        <w:rPr>
          <w:color w:val="auto"/>
        </w:rPr>
      </w:pPr>
    </w:p>
    <w:p w:rsidR="00800393" w:rsidRPr="0060455B" w:rsidRDefault="00800393" w:rsidP="0060455B">
      <w:pPr>
        <w:pStyle w:val="Default"/>
        <w:ind w:left="1440" w:hanging="720"/>
        <w:jc w:val="both"/>
        <w:rPr>
          <w:color w:val="auto"/>
        </w:rPr>
      </w:pPr>
      <w:r w:rsidRPr="0060455B">
        <w:rPr>
          <w:color w:val="auto"/>
        </w:rPr>
        <w:t>2.</w:t>
      </w:r>
      <w:r w:rsidR="00CC66FD" w:rsidRPr="0060455B">
        <w:rPr>
          <w:color w:val="auto"/>
        </w:rPr>
        <w:tab/>
      </w:r>
      <w:r w:rsidRPr="0060455B">
        <w:rPr>
          <w:color w:val="auto"/>
        </w:rPr>
        <w:t xml:space="preserve">The sulfur dioxide emissions from a unit which combusts anthracite coal exclusively do not exceed 1.20 pounds of sulfur dioxide per 1,000,000 British Thermal Units (BTU) gross heat input determined as a 30-day rolling average; or </w:t>
      </w:r>
    </w:p>
    <w:p w:rsidR="00800393" w:rsidRPr="0060455B" w:rsidRDefault="00800393" w:rsidP="0060455B">
      <w:pPr>
        <w:pStyle w:val="Default"/>
        <w:ind w:left="1440" w:hanging="720"/>
        <w:jc w:val="both"/>
        <w:rPr>
          <w:color w:val="auto"/>
        </w:rPr>
      </w:pPr>
    </w:p>
    <w:p w:rsidR="00800393" w:rsidRPr="0060455B" w:rsidRDefault="00800393" w:rsidP="0060455B">
      <w:pPr>
        <w:pStyle w:val="Default"/>
        <w:ind w:left="1440" w:hanging="720"/>
        <w:jc w:val="both"/>
        <w:rPr>
          <w:color w:val="auto"/>
        </w:rPr>
      </w:pPr>
      <w:r w:rsidRPr="0060455B">
        <w:rPr>
          <w:color w:val="auto"/>
        </w:rPr>
        <w:t>3.</w:t>
      </w:r>
      <w:r w:rsidR="00CC66FD" w:rsidRPr="0060455B">
        <w:rPr>
          <w:color w:val="auto"/>
        </w:rPr>
        <w:tab/>
      </w:r>
      <w:r w:rsidRPr="0060455B">
        <w:rPr>
          <w:color w:val="auto"/>
        </w:rPr>
        <w:t xml:space="preserve">The sulfur dioxide emissions, if the unit is a resource recovery facility, do not exceed 1.20 pounds of sulfur dioxide per 1,000,000 British Thermal Units (BTU) gross heat input determined as a 30-day rolling average. </w:t>
      </w:r>
    </w:p>
    <w:p w:rsidR="00800393" w:rsidRPr="0060455B" w:rsidRDefault="00800393" w:rsidP="0060455B">
      <w:pPr>
        <w:pStyle w:val="Default"/>
        <w:rPr>
          <w:color w:val="auto"/>
        </w:rPr>
      </w:pPr>
    </w:p>
    <w:p w:rsidR="00800393" w:rsidRPr="0060455B" w:rsidRDefault="00800393" w:rsidP="0060455B">
      <w:pPr>
        <w:pStyle w:val="Default"/>
        <w:ind w:left="720" w:hanging="720"/>
        <w:jc w:val="both"/>
        <w:rPr>
          <w:color w:val="auto"/>
        </w:rPr>
      </w:pPr>
      <w:r w:rsidRPr="0060455B">
        <w:rPr>
          <w:color w:val="auto"/>
        </w:rPr>
        <w:t>(b)</w:t>
      </w:r>
      <w:r w:rsidR="00CC66FD" w:rsidRPr="0060455B">
        <w:rPr>
          <w:color w:val="auto"/>
        </w:rPr>
        <w:tab/>
      </w:r>
      <w:r w:rsidRPr="0060455B">
        <w:rPr>
          <w:color w:val="auto"/>
        </w:rPr>
        <w:t xml:space="preserve">Compliance with the standards of (a) above shall be determined in accordance with the provisions of 40 CFR Part 60 Subpart Da. </w:t>
      </w:r>
    </w:p>
    <w:p w:rsidR="00800393" w:rsidRPr="0060455B" w:rsidRDefault="00800393" w:rsidP="0060455B">
      <w:pPr>
        <w:pStyle w:val="Default"/>
        <w:ind w:left="720" w:hanging="720"/>
        <w:jc w:val="both"/>
        <w:rPr>
          <w:color w:val="auto"/>
        </w:rPr>
      </w:pPr>
    </w:p>
    <w:p w:rsidR="00800393" w:rsidRPr="0060455B" w:rsidRDefault="00800393" w:rsidP="0060455B">
      <w:pPr>
        <w:pStyle w:val="Default"/>
        <w:ind w:left="720" w:hanging="720"/>
        <w:jc w:val="both"/>
        <w:rPr>
          <w:color w:val="auto"/>
        </w:rPr>
      </w:pPr>
      <w:r w:rsidRPr="0060455B">
        <w:rPr>
          <w:color w:val="auto"/>
        </w:rPr>
        <w:t>(c)</w:t>
      </w:r>
      <w:r w:rsidR="00CC66FD" w:rsidRPr="0060455B">
        <w:rPr>
          <w:color w:val="auto"/>
        </w:rPr>
        <w:tab/>
      </w:r>
      <w:r w:rsidRPr="0060455B">
        <w:rPr>
          <w:color w:val="auto"/>
        </w:rPr>
        <w:t xml:space="preserve">No person shall expand or reconstruct an existing solid fuel-fired steam generating unit or construct a new solid fuel-fired steam generating unit, not subject to the provisions of (a) above, having a rated hourly capacity that equals or exceeds, or would equal or exceed </w:t>
      </w:r>
      <w:proofErr w:type="gramStart"/>
      <w:r w:rsidRPr="0060455B">
        <w:rPr>
          <w:color w:val="auto"/>
        </w:rPr>
        <w:t>as a result of</w:t>
      </w:r>
      <w:proofErr w:type="gramEnd"/>
      <w:r w:rsidRPr="0060455B">
        <w:rPr>
          <w:color w:val="auto"/>
        </w:rPr>
        <w:t xml:space="preserve"> expansion, construction, and/or reconstruction, 1,000,000 British Thermal Units (BTU) gross heat input unless it is demonstrated to the Department that: </w:t>
      </w:r>
    </w:p>
    <w:p w:rsidR="00800393" w:rsidRPr="0060455B" w:rsidRDefault="00800393" w:rsidP="0060455B">
      <w:pPr>
        <w:pStyle w:val="Default"/>
        <w:ind w:left="1440" w:hanging="720"/>
        <w:rPr>
          <w:color w:val="auto"/>
        </w:rPr>
      </w:pPr>
    </w:p>
    <w:p w:rsidR="00800393" w:rsidRPr="0060455B" w:rsidRDefault="00800393" w:rsidP="0060455B">
      <w:pPr>
        <w:pStyle w:val="Default"/>
        <w:ind w:left="1440" w:hanging="720"/>
        <w:jc w:val="both"/>
        <w:rPr>
          <w:color w:val="auto"/>
        </w:rPr>
      </w:pPr>
      <w:r w:rsidRPr="0060455B">
        <w:rPr>
          <w:color w:val="auto"/>
        </w:rPr>
        <w:t>1.</w:t>
      </w:r>
      <w:r w:rsidR="00CC66FD" w:rsidRPr="0060455B">
        <w:rPr>
          <w:color w:val="auto"/>
        </w:rPr>
        <w:tab/>
      </w:r>
      <w:r w:rsidRPr="0060455B">
        <w:rPr>
          <w:color w:val="auto"/>
        </w:rPr>
        <w:t xml:space="preserve">The sulfur dioxide emissions, caused by the combustion of solid fuel, excluding coke and anthracite coal, from any stack or chimney into the outdoor atmosphere can be controlled to levels that do not exceed at any time 0.30 pounds of sulfur dioxide per 1,000,000 British Thermal Units (BTU) gross heat input; or </w:t>
      </w:r>
    </w:p>
    <w:p w:rsidR="00800393" w:rsidRPr="0060455B" w:rsidRDefault="00800393" w:rsidP="0060455B">
      <w:pPr>
        <w:pStyle w:val="Default"/>
        <w:ind w:left="1440" w:hanging="720"/>
        <w:jc w:val="both"/>
        <w:rPr>
          <w:color w:val="auto"/>
        </w:rPr>
      </w:pPr>
    </w:p>
    <w:p w:rsidR="00800393" w:rsidRPr="0060455B" w:rsidRDefault="00800393" w:rsidP="0060455B">
      <w:pPr>
        <w:pStyle w:val="Default"/>
        <w:ind w:left="1440" w:hanging="720"/>
        <w:jc w:val="both"/>
        <w:rPr>
          <w:color w:val="auto"/>
        </w:rPr>
      </w:pPr>
      <w:r w:rsidRPr="0060455B">
        <w:rPr>
          <w:color w:val="auto"/>
        </w:rPr>
        <w:lastRenderedPageBreak/>
        <w:t>2.</w:t>
      </w:r>
      <w:r w:rsidR="00CC66FD" w:rsidRPr="0060455B">
        <w:rPr>
          <w:color w:val="auto"/>
        </w:rPr>
        <w:tab/>
      </w:r>
      <w:r w:rsidRPr="0060455B">
        <w:rPr>
          <w:color w:val="auto"/>
        </w:rPr>
        <w:t xml:space="preserve">The solid fuel, excluding coke and anthracite coal, used to fire such a facility will at no time contain more than 0.20 percent sulfur by weight; or </w:t>
      </w:r>
    </w:p>
    <w:p w:rsidR="00800393" w:rsidRPr="0060455B" w:rsidRDefault="00800393" w:rsidP="0060455B">
      <w:pPr>
        <w:pStyle w:val="Default"/>
        <w:ind w:left="1440" w:hanging="720"/>
        <w:jc w:val="both"/>
        <w:rPr>
          <w:color w:val="auto"/>
        </w:rPr>
      </w:pPr>
    </w:p>
    <w:p w:rsidR="00800393" w:rsidRPr="0060455B" w:rsidRDefault="00800393" w:rsidP="0060455B">
      <w:pPr>
        <w:pStyle w:val="Default"/>
        <w:ind w:left="1440" w:hanging="720"/>
        <w:jc w:val="both"/>
        <w:rPr>
          <w:color w:val="auto"/>
        </w:rPr>
      </w:pPr>
      <w:r w:rsidRPr="0060455B">
        <w:rPr>
          <w:color w:val="auto"/>
        </w:rPr>
        <w:t>3.</w:t>
      </w:r>
      <w:r w:rsidR="00CC66FD" w:rsidRPr="0060455B">
        <w:rPr>
          <w:color w:val="auto"/>
        </w:rPr>
        <w:tab/>
      </w:r>
      <w:r w:rsidRPr="0060455B">
        <w:rPr>
          <w:color w:val="auto"/>
        </w:rPr>
        <w:t xml:space="preserve">Anthracite coal or coke used to fire such a facility will at no time contain more than 0.8 percent sulfur by weight; or </w:t>
      </w:r>
    </w:p>
    <w:p w:rsidR="00800393" w:rsidRPr="0060455B" w:rsidRDefault="00800393" w:rsidP="0060455B">
      <w:pPr>
        <w:pStyle w:val="Default"/>
        <w:ind w:left="1440" w:hanging="720"/>
        <w:jc w:val="both"/>
        <w:rPr>
          <w:color w:val="auto"/>
        </w:rPr>
      </w:pPr>
    </w:p>
    <w:p w:rsidR="00800393" w:rsidRPr="0060455B" w:rsidRDefault="00800393" w:rsidP="0060455B">
      <w:pPr>
        <w:pStyle w:val="Default"/>
        <w:ind w:left="1440" w:hanging="720"/>
        <w:jc w:val="both"/>
        <w:rPr>
          <w:color w:val="auto"/>
        </w:rPr>
      </w:pPr>
      <w:r w:rsidRPr="0060455B">
        <w:rPr>
          <w:color w:val="auto"/>
        </w:rPr>
        <w:t>4.</w:t>
      </w:r>
      <w:r w:rsidR="00CC66FD" w:rsidRPr="0060455B">
        <w:rPr>
          <w:color w:val="auto"/>
        </w:rPr>
        <w:tab/>
      </w:r>
      <w:r w:rsidRPr="0060455B">
        <w:rPr>
          <w:color w:val="auto"/>
        </w:rPr>
        <w:t xml:space="preserve">The sulfur dioxide emissions, if the unit is a resource recovery facility, do not exceed 1.20 pounds of sulfur dioxide per 1,000,000 British Thermal Units (BTU) gross heat input determined as a 30-day rolling average. </w:t>
      </w:r>
    </w:p>
    <w:p w:rsidR="00800393" w:rsidRPr="0060455B" w:rsidRDefault="00800393" w:rsidP="0060455B">
      <w:pPr>
        <w:pStyle w:val="Default"/>
        <w:rPr>
          <w:b/>
          <w:bCs/>
          <w:color w:val="auto"/>
        </w:rPr>
      </w:pPr>
    </w:p>
    <w:p w:rsidR="00800393" w:rsidRPr="0060455B" w:rsidRDefault="00800393" w:rsidP="0060455B">
      <w:pPr>
        <w:pStyle w:val="Heading2"/>
        <w:spacing w:before="0" w:after="0"/>
        <w:rPr>
          <w:rFonts w:cs="Times New Roman"/>
          <w:szCs w:val="24"/>
        </w:rPr>
      </w:pPr>
      <w:bookmarkStart w:id="10" w:name="_Toc229458282"/>
      <w:r w:rsidRPr="0060455B">
        <w:rPr>
          <w:rFonts w:cs="Times New Roman"/>
          <w:szCs w:val="24"/>
        </w:rPr>
        <w:t>7:27-10.4</w:t>
      </w:r>
      <w:r w:rsidR="00CC66FD" w:rsidRPr="0060455B">
        <w:rPr>
          <w:rFonts w:cs="Times New Roman"/>
          <w:szCs w:val="24"/>
        </w:rPr>
        <w:tab/>
      </w:r>
      <w:r w:rsidRPr="0060455B">
        <w:rPr>
          <w:rFonts w:cs="Times New Roman"/>
          <w:szCs w:val="24"/>
        </w:rPr>
        <w:t>Exemptions</w:t>
      </w:r>
      <w:bookmarkEnd w:id="10"/>
      <w:r w:rsidR="000C0D72" w:rsidRPr="0060455B">
        <w:rPr>
          <w:rFonts w:cs="Times New Roman"/>
          <w:szCs w:val="24"/>
        </w:rPr>
        <w:fldChar w:fldCharType="begin"/>
      </w:r>
      <w:r w:rsidR="000C0D72" w:rsidRPr="0060455B">
        <w:rPr>
          <w:rFonts w:cs="Times New Roman"/>
          <w:szCs w:val="24"/>
        </w:rPr>
        <w:instrText xml:space="preserve"> TC "</w:instrText>
      </w:r>
      <w:bookmarkStart w:id="11" w:name="_Toc229458223"/>
      <w:r w:rsidR="000C0D72" w:rsidRPr="0060455B">
        <w:rPr>
          <w:rFonts w:cs="Times New Roman"/>
          <w:szCs w:val="24"/>
        </w:rPr>
        <w:instrText>7:27-10.4</w:instrText>
      </w:r>
      <w:r w:rsidR="000C0D72" w:rsidRPr="0060455B">
        <w:rPr>
          <w:rFonts w:cs="Times New Roman"/>
          <w:szCs w:val="24"/>
        </w:rPr>
        <w:tab/>
        <w:instrText>Exemptions</w:instrText>
      </w:r>
      <w:bookmarkEnd w:id="11"/>
      <w:r w:rsidR="000C0D72" w:rsidRPr="0060455B">
        <w:rPr>
          <w:rFonts w:cs="Times New Roman"/>
          <w:szCs w:val="24"/>
        </w:rPr>
        <w:instrText xml:space="preserve">" \f C \l "1" </w:instrText>
      </w:r>
      <w:r w:rsidR="000C0D72" w:rsidRPr="0060455B">
        <w:rPr>
          <w:rFonts w:cs="Times New Roman"/>
          <w:szCs w:val="24"/>
        </w:rPr>
        <w:fldChar w:fldCharType="end"/>
      </w:r>
      <w:r w:rsidRPr="0060455B">
        <w:rPr>
          <w:rFonts w:cs="Times New Roman"/>
          <w:szCs w:val="24"/>
        </w:rPr>
        <w:t xml:space="preserve"> </w:t>
      </w:r>
    </w:p>
    <w:p w:rsidR="00800393" w:rsidRPr="0060455B" w:rsidRDefault="00800393" w:rsidP="0060455B">
      <w:pPr>
        <w:pStyle w:val="Default"/>
        <w:rPr>
          <w:color w:val="auto"/>
        </w:rPr>
      </w:pPr>
    </w:p>
    <w:p w:rsidR="00D41EF4" w:rsidRDefault="006E56B5" w:rsidP="00D41EF4">
      <w:pPr>
        <w:pStyle w:val="NoSpacing"/>
        <w:ind w:left="720" w:hanging="720"/>
        <w:rPr>
          <w:szCs w:val="24"/>
        </w:rPr>
      </w:pPr>
      <w:bookmarkStart w:id="12" w:name="_Toc229458283"/>
      <w:r w:rsidRPr="0060455B">
        <w:rPr>
          <w:szCs w:val="24"/>
        </w:rPr>
        <w:t>(a)</w:t>
      </w:r>
      <w:r w:rsidR="00D41EF4">
        <w:rPr>
          <w:szCs w:val="24"/>
        </w:rPr>
        <w:tab/>
      </w:r>
      <w:r w:rsidR="000B202B" w:rsidRPr="0060455B">
        <w:rPr>
          <w:szCs w:val="24"/>
        </w:rPr>
        <w:t>The provisions of this subchapter shall not apply to coal used by ocean-going vessels.</w:t>
      </w:r>
    </w:p>
    <w:p w:rsidR="00D41EF4" w:rsidRDefault="00D41EF4" w:rsidP="00D41EF4">
      <w:pPr>
        <w:pStyle w:val="NoSpacing"/>
        <w:ind w:left="720" w:hanging="720"/>
        <w:rPr>
          <w:szCs w:val="24"/>
        </w:rPr>
      </w:pPr>
    </w:p>
    <w:p w:rsidR="00A51628" w:rsidRDefault="000B202B" w:rsidP="00D41EF4">
      <w:pPr>
        <w:pStyle w:val="NoSpacing"/>
        <w:ind w:left="720" w:hanging="720"/>
        <w:rPr>
          <w:szCs w:val="24"/>
        </w:rPr>
      </w:pPr>
      <w:r w:rsidRPr="0060455B">
        <w:rPr>
          <w:szCs w:val="24"/>
        </w:rPr>
        <w:t>(b)</w:t>
      </w:r>
      <w:r w:rsidR="00D41EF4">
        <w:rPr>
          <w:szCs w:val="24"/>
        </w:rPr>
        <w:tab/>
      </w:r>
      <w:r w:rsidRPr="0060455B">
        <w:rPr>
          <w:szCs w:val="24"/>
        </w:rPr>
        <w:t>In any case in which it is demonstrated to the department that a bona fide pilot installation of an approved stack-gas cleaning process is to be made, the use of nonconforming solid fuel to the extent necessary, in the judgment of the Department, to evaluate the effectiveness of the process will not be prohibited by this subchapter.</w:t>
      </w:r>
    </w:p>
    <w:p w:rsidR="00A51628" w:rsidRDefault="00A51628" w:rsidP="00D41EF4">
      <w:pPr>
        <w:pStyle w:val="NoSpacing"/>
        <w:ind w:left="720" w:hanging="720"/>
        <w:rPr>
          <w:szCs w:val="24"/>
        </w:rPr>
      </w:pPr>
    </w:p>
    <w:p w:rsidR="000B202B" w:rsidRPr="0060455B" w:rsidRDefault="000B202B" w:rsidP="00D41EF4">
      <w:pPr>
        <w:pStyle w:val="NoSpacing"/>
        <w:ind w:left="720" w:hanging="720"/>
        <w:rPr>
          <w:szCs w:val="24"/>
        </w:rPr>
      </w:pPr>
      <w:r w:rsidRPr="0060455B">
        <w:rPr>
          <w:szCs w:val="24"/>
        </w:rPr>
        <w:t>(c)</w:t>
      </w:r>
      <w:r w:rsidR="00A51628">
        <w:rPr>
          <w:szCs w:val="24"/>
        </w:rPr>
        <w:tab/>
      </w:r>
      <w:proofErr w:type="spellStart"/>
      <w:r w:rsidRPr="0060455B">
        <w:rPr>
          <w:szCs w:val="24"/>
        </w:rPr>
        <w:t>Nonbanded</w:t>
      </w:r>
      <w:proofErr w:type="spellEnd"/>
      <w:r w:rsidRPr="0060455B">
        <w:rPr>
          <w:szCs w:val="24"/>
        </w:rPr>
        <w:t xml:space="preserve"> coal containing not more than 1.0 percent sulfur by weight may be burned solely for heating purposes in one or </w:t>
      </w:r>
      <w:proofErr w:type="gramStart"/>
      <w:r w:rsidRPr="0060455B">
        <w:rPr>
          <w:szCs w:val="24"/>
        </w:rPr>
        <w:t>two family</w:t>
      </w:r>
      <w:proofErr w:type="gramEnd"/>
      <w:r w:rsidRPr="0060455B">
        <w:rPr>
          <w:szCs w:val="24"/>
        </w:rPr>
        <w:t xml:space="preserve"> residences only in combustion equipment in use for such purposes prior to October 1, 1971.</w:t>
      </w:r>
    </w:p>
    <w:p w:rsidR="000B202B" w:rsidRPr="0060455B" w:rsidRDefault="000B202B" w:rsidP="0060455B">
      <w:pPr>
        <w:pStyle w:val="NoSpacing"/>
        <w:rPr>
          <w:szCs w:val="24"/>
        </w:rPr>
      </w:pPr>
    </w:p>
    <w:p w:rsidR="00FE738F" w:rsidRPr="0060455B" w:rsidRDefault="00FE738F" w:rsidP="0060455B">
      <w:pPr>
        <w:pStyle w:val="NoSpacing"/>
        <w:rPr>
          <w:b/>
          <w:szCs w:val="24"/>
        </w:rPr>
      </w:pPr>
      <w:r w:rsidRPr="0060455B">
        <w:rPr>
          <w:b/>
          <w:szCs w:val="24"/>
        </w:rPr>
        <w:t>7:27-10.5</w:t>
      </w:r>
      <w:r w:rsidRPr="0060455B">
        <w:rPr>
          <w:b/>
          <w:szCs w:val="24"/>
        </w:rPr>
        <w:tab/>
        <w:t>SO</w:t>
      </w:r>
      <w:r w:rsidRPr="0060455B">
        <w:rPr>
          <w:b/>
          <w:szCs w:val="24"/>
          <w:vertAlign w:val="subscript"/>
        </w:rPr>
        <w:t>2</w:t>
      </w:r>
      <w:r w:rsidRPr="0060455B">
        <w:rPr>
          <w:b/>
          <w:szCs w:val="24"/>
        </w:rPr>
        <w:t xml:space="preserve"> emission rate determinations</w:t>
      </w:r>
      <w:bookmarkEnd w:id="12"/>
      <w:r w:rsidR="000C0D72" w:rsidRPr="0060455B">
        <w:rPr>
          <w:b/>
          <w:szCs w:val="24"/>
        </w:rPr>
        <w:fldChar w:fldCharType="begin"/>
      </w:r>
      <w:r w:rsidR="000C0D72" w:rsidRPr="0060455B">
        <w:rPr>
          <w:b/>
          <w:szCs w:val="24"/>
        </w:rPr>
        <w:instrText xml:space="preserve"> TC "</w:instrText>
      </w:r>
      <w:bookmarkStart w:id="13" w:name="_Toc229458224"/>
      <w:r w:rsidR="000C0D72" w:rsidRPr="0060455B">
        <w:rPr>
          <w:b/>
          <w:szCs w:val="24"/>
        </w:rPr>
        <w:instrText>7:27-10.5</w:instrText>
      </w:r>
      <w:r w:rsidR="000C0D72" w:rsidRPr="0060455B">
        <w:rPr>
          <w:b/>
          <w:szCs w:val="24"/>
        </w:rPr>
        <w:tab/>
        <w:instrText>SO2 emission rate determinations</w:instrText>
      </w:r>
      <w:bookmarkEnd w:id="13"/>
      <w:r w:rsidR="000C0D72" w:rsidRPr="0060455B">
        <w:rPr>
          <w:b/>
          <w:szCs w:val="24"/>
        </w:rPr>
        <w:instrText xml:space="preserve">" \f C \l "1" </w:instrText>
      </w:r>
      <w:r w:rsidR="000C0D72" w:rsidRPr="0060455B">
        <w:rPr>
          <w:b/>
          <w:szCs w:val="24"/>
        </w:rPr>
        <w:fldChar w:fldCharType="end"/>
      </w:r>
    </w:p>
    <w:p w:rsidR="00FE738F" w:rsidRPr="0060455B" w:rsidRDefault="00FE738F" w:rsidP="0060455B">
      <w:pPr>
        <w:jc w:val="both"/>
        <w:rPr>
          <w:color w:val="000000"/>
          <w:szCs w:val="24"/>
        </w:rPr>
      </w:pPr>
    </w:p>
    <w:p w:rsidR="00A51628" w:rsidRDefault="000B202B" w:rsidP="00A51628">
      <w:pPr>
        <w:pStyle w:val="NoSpacing"/>
        <w:ind w:left="720" w:hanging="720"/>
        <w:rPr>
          <w:snapToGrid/>
          <w:color w:val="333333"/>
          <w:szCs w:val="24"/>
        </w:rPr>
      </w:pPr>
      <w:r w:rsidRPr="0060455B">
        <w:rPr>
          <w:snapToGrid/>
          <w:color w:val="333333"/>
          <w:szCs w:val="24"/>
        </w:rPr>
        <w:t>(a</w:t>
      </w:r>
      <w:r w:rsidR="00A51628">
        <w:rPr>
          <w:snapToGrid/>
          <w:color w:val="333333"/>
          <w:szCs w:val="24"/>
        </w:rPr>
        <w:t>)</w:t>
      </w:r>
      <w:r w:rsidR="00A51628">
        <w:rPr>
          <w:snapToGrid/>
          <w:color w:val="333333"/>
          <w:szCs w:val="24"/>
        </w:rPr>
        <w:tab/>
      </w:r>
      <w:r w:rsidRPr="0060455B">
        <w:rPr>
          <w:snapToGrid/>
          <w:color w:val="333333"/>
          <w:szCs w:val="24"/>
        </w:rPr>
        <w:t xml:space="preserve">For purposes of N.J.A.C. 7:27-10.2(h), a 24-hour emission rate </w:t>
      </w:r>
      <w:r w:rsidR="00A51628">
        <w:rPr>
          <w:snapToGrid/>
          <w:color w:val="333333"/>
          <w:szCs w:val="24"/>
        </w:rPr>
        <w:t>shall be calculated as follows:</w:t>
      </w:r>
    </w:p>
    <w:p w:rsidR="00A51628" w:rsidRDefault="00A51628" w:rsidP="00A51628">
      <w:pPr>
        <w:pStyle w:val="NoSpacing"/>
        <w:ind w:left="720" w:hanging="720"/>
        <w:rPr>
          <w:snapToGrid/>
          <w:color w:val="333333"/>
          <w:szCs w:val="24"/>
        </w:rPr>
      </w:pPr>
    </w:p>
    <w:p w:rsidR="00A51628" w:rsidRDefault="00A51628" w:rsidP="00A51628">
      <w:pPr>
        <w:pStyle w:val="NoSpacing"/>
        <w:ind w:left="1440" w:hanging="720"/>
        <w:rPr>
          <w:snapToGrid/>
          <w:color w:val="333333"/>
          <w:szCs w:val="24"/>
        </w:rPr>
      </w:pPr>
      <w:r>
        <w:rPr>
          <w:snapToGrid/>
          <w:color w:val="333333"/>
          <w:szCs w:val="24"/>
        </w:rPr>
        <w:t>1.</w:t>
      </w:r>
      <w:r>
        <w:rPr>
          <w:snapToGrid/>
          <w:color w:val="333333"/>
          <w:szCs w:val="24"/>
        </w:rPr>
        <w:tab/>
      </w:r>
      <w:r w:rsidR="000B202B" w:rsidRPr="0060455B">
        <w:rPr>
          <w:snapToGrid/>
          <w:color w:val="333333"/>
          <w:szCs w:val="24"/>
        </w:rPr>
        <w:t>Measure the emissions for each one-hour block using a certified Continuous SO</w:t>
      </w:r>
      <w:r w:rsidR="000B202B" w:rsidRPr="0060455B">
        <w:rPr>
          <w:snapToGrid/>
          <w:color w:val="333333"/>
          <w:szCs w:val="24"/>
          <w:vertAlign w:val="subscript"/>
        </w:rPr>
        <w:t>2</w:t>
      </w:r>
      <w:r w:rsidR="000B202B" w:rsidRPr="0060455B">
        <w:rPr>
          <w:snapToGrid/>
          <w:color w:val="333333"/>
          <w:szCs w:val="24"/>
        </w:rPr>
        <w:t xml:space="preserve"> Emissions Monitoring System, a certified continuous oxygen emissions monitoring system, and EPA Method 19, "Determination of Sulfur Dioxide Removal Efficiency and Particulate Matter, Sulfur Dioxide, and Nitrogen Oxide Emission Rates," as identified at 40 CFR Part 60, Appendix A, incorporated herein by reference. </w:t>
      </w:r>
      <w:r>
        <w:rPr>
          <w:snapToGrid/>
          <w:color w:val="333333"/>
          <w:szCs w:val="24"/>
        </w:rPr>
        <w:t xml:space="preserve"> </w:t>
      </w:r>
      <w:r w:rsidR="000B202B" w:rsidRPr="0060455B">
        <w:rPr>
          <w:snapToGrid/>
          <w:color w:val="333333"/>
          <w:szCs w:val="24"/>
        </w:rPr>
        <w:t>An owner or operator may seek approval of an alternative Department approved method to use instead of EPA Method 19, only if the owner or operator is combusting clean, unprocessed wood, in which case the owner or operator shall submit a written application to the Department at the address at (d) below; and</w:t>
      </w:r>
    </w:p>
    <w:p w:rsidR="00A51628" w:rsidRDefault="00A51628" w:rsidP="00A51628">
      <w:pPr>
        <w:pStyle w:val="NoSpacing"/>
        <w:ind w:left="1440" w:hanging="720"/>
        <w:rPr>
          <w:snapToGrid/>
          <w:color w:val="333333"/>
          <w:szCs w:val="24"/>
        </w:rPr>
      </w:pPr>
    </w:p>
    <w:p w:rsidR="00A51628" w:rsidRDefault="000B202B" w:rsidP="00A51628">
      <w:pPr>
        <w:pStyle w:val="NoSpacing"/>
        <w:ind w:left="1440" w:hanging="720"/>
        <w:rPr>
          <w:snapToGrid/>
          <w:color w:val="333333"/>
          <w:szCs w:val="24"/>
        </w:rPr>
      </w:pPr>
      <w:r w:rsidRPr="0060455B">
        <w:rPr>
          <w:snapToGrid/>
          <w:color w:val="333333"/>
          <w:szCs w:val="24"/>
        </w:rPr>
        <w:t>2.</w:t>
      </w:r>
      <w:r w:rsidR="00A51628">
        <w:rPr>
          <w:snapToGrid/>
          <w:color w:val="333333"/>
          <w:szCs w:val="24"/>
        </w:rPr>
        <w:tab/>
      </w:r>
      <w:r w:rsidRPr="0060455B">
        <w:rPr>
          <w:snapToGrid/>
          <w:color w:val="333333"/>
          <w:szCs w:val="24"/>
        </w:rPr>
        <w:t xml:space="preserve">Average the emissions determined for the one-hour blocks from (a)1 above for one calendar day during which combustion of solid fuel occurred. The 24-hour emission rate shall include only the one-hour blocks during which solid fuel is combusted. </w:t>
      </w:r>
      <w:r w:rsidR="00A51628">
        <w:rPr>
          <w:snapToGrid/>
          <w:color w:val="333333"/>
          <w:szCs w:val="24"/>
        </w:rPr>
        <w:t xml:space="preserve"> </w:t>
      </w:r>
      <w:r w:rsidRPr="0060455B">
        <w:rPr>
          <w:snapToGrid/>
          <w:color w:val="333333"/>
          <w:szCs w:val="24"/>
        </w:rPr>
        <w:t>For example, if a source combusted solid fuel from midnight to 4:00 A.M. and did not operate from 4:00 A.M. to midnight, the 24-hour emission rate is calculated by adding the total of the emissions from the four one-hour blocks from midnight to 4:00 A.M. and dividing that sum by four.</w:t>
      </w:r>
    </w:p>
    <w:p w:rsidR="00A51628" w:rsidRDefault="00A51628" w:rsidP="00A51628">
      <w:pPr>
        <w:pStyle w:val="NoSpacing"/>
        <w:ind w:left="1440" w:hanging="720"/>
        <w:rPr>
          <w:snapToGrid/>
          <w:color w:val="333333"/>
          <w:szCs w:val="24"/>
        </w:rPr>
      </w:pPr>
    </w:p>
    <w:p w:rsidR="00A51628" w:rsidRDefault="00A51628" w:rsidP="00D53261">
      <w:pPr>
        <w:pStyle w:val="NoSpacing"/>
        <w:widowControl/>
        <w:ind w:left="720" w:hanging="720"/>
        <w:rPr>
          <w:snapToGrid/>
          <w:color w:val="333333"/>
          <w:szCs w:val="24"/>
        </w:rPr>
      </w:pPr>
      <w:r>
        <w:rPr>
          <w:snapToGrid/>
          <w:color w:val="333333"/>
          <w:szCs w:val="24"/>
        </w:rPr>
        <w:lastRenderedPageBreak/>
        <w:t>(b)</w:t>
      </w:r>
      <w:r>
        <w:rPr>
          <w:snapToGrid/>
          <w:color w:val="333333"/>
          <w:szCs w:val="24"/>
        </w:rPr>
        <w:tab/>
      </w:r>
      <w:r w:rsidR="000B202B" w:rsidRPr="0060455B">
        <w:rPr>
          <w:snapToGrid/>
          <w:color w:val="333333"/>
          <w:szCs w:val="24"/>
        </w:rPr>
        <w:t>For purposes of N.J.A.C. 7:27-10.2(h), a 30-calendar-day rolling average emission rate shall be calculated as follows:</w:t>
      </w:r>
    </w:p>
    <w:p w:rsidR="00A51628" w:rsidRDefault="00A51628" w:rsidP="00A51628">
      <w:pPr>
        <w:pStyle w:val="NoSpacing"/>
        <w:ind w:left="720" w:hanging="720"/>
        <w:rPr>
          <w:snapToGrid/>
          <w:color w:val="333333"/>
          <w:szCs w:val="24"/>
        </w:rPr>
      </w:pPr>
    </w:p>
    <w:p w:rsidR="00A51628" w:rsidRDefault="000B202B" w:rsidP="00A51628">
      <w:pPr>
        <w:pStyle w:val="NoSpacing"/>
        <w:ind w:left="1440" w:hanging="720"/>
        <w:rPr>
          <w:snapToGrid/>
          <w:color w:val="333333"/>
          <w:szCs w:val="24"/>
        </w:rPr>
      </w:pPr>
      <w:r w:rsidRPr="0060455B">
        <w:rPr>
          <w:snapToGrid/>
          <w:color w:val="333333"/>
          <w:szCs w:val="24"/>
        </w:rPr>
        <w:t>1.</w:t>
      </w:r>
      <w:r w:rsidR="00A51628">
        <w:rPr>
          <w:snapToGrid/>
          <w:color w:val="333333"/>
          <w:szCs w:val="24"/>
        </w:rPr>
        <w:tab/>
      </w:r>
      <w:r w:rsidRPr="0060455B">
        <w:rPr>
          <w:snapToGrid/>
          <w:color w:val="333333"/>
          <w:szCs w:val="24"/>
        </w:rPr>
        <w:t>Pursuant to (a) above, determine the 24-hour emission rates for 30 consecutive calendar days;</w:t>
      </w:r>
    </w:p>
    <w:p w:rsidR="00A51628" w:rsidRDefault="00A51628" w:rsidP="00A51628">
      <w:pPr>
        <w:pStyle w:val="NoSpacing"/>
        <w:ind w:left="1440" w:hanging="720"/>
        <w:rPr>
          <w:snapToGrid/>
          <w:color w:val="333333"/>
          <w:szCs w:val="24"/>
        </w:rPr>
      </w:pPr>
    </w:p>
    <w:p w:rsidR="00A51628" w:rsidRDefault="000B202B" w:rsidP="00A51628">
      <w:pPr>
        <w:pStyle w:val="NoSpacing"/>
        <w:ind w:left="1440" w:hanging="720"/>
        <w:rPr>
          <w:snapToGrid/>
          <w:color w:val="333333"/>
          <w:szCs w:val="24"/>
        </w:rPr>
      </w:pPr>
      <w:r w:rsidRPr="0060455B">
        <w:rPr>
          <w:snapToGrid/>
          <w:color w:val="333333"/>
          <w:szCs w:val="24"/>
        </w:rPr>
        <w:t>2.</w:t>
      </w:r>
      <w:r w:rsidR="00A51628">
        <w:rPr>
          <w:snapToGrid/>
          <w:color w:val="333333"/>
          <w:szCs w:val="24"/>
        </w:rPr>
        <w:tab/>
      </w:r>
      <w:r w:rsidRPr="0060455B">
        <w:rPr>
          <w:snapToGrid/>
          <w:color w:val="333333"/>
          <w:szCs w:val="24"/>
        </w:rPr>
        <w:t xml:space="preserve">Divide the sum of the 24-hour emission rates by the total number of days on which the source was operated, during the 30-consecutive-day period, pursuant to (b)4 below. </w:t>
      </w:r>
      <w:r w:rsidR="00A51628">
        <w:rPr>
          <w:snapToGrid/>
          <w:color w:val="333333"/>
          <w:szCs w:val="24"/>
        </w:rPr>
        <w:t xml:space="preserve"> </w:t>
      </w:r>
      <w:r w:rsidRPr="0060455B">
        <w:rPr>
          <w:snapToGrid/>
          <w:color w:val="333333"/>
          <w:szCs w:val="24"/>
        </w:rPr>
        <w:t>The result is the 30-calendar-day rolling average emission rate for the 30th day;</w:t>
      </w:r>
    </w:p>
    <w:p w:rsidR="00A51628" w:rsidRDefault="00A51628" w:rsidP="00A51628">
      <w:pPr>
        <w:pStyle w:val="NoSpacing"/>
        <w:ind w:left="1440" w:hanging="720"/>
        <w:rPr>
          <w:snapToGrid/>
          <w:color w:val="333333"/>
          <w:szCs w:val="24"/>
        </w:rPr>
      </w:pPr>
    </w:p>
    <w:p w:rsidR="00A51628" w:rsidRDefault="000B202B" w:rsidP="00A51628">
      <w:pPr>
        <w:pStyle w:val="NoSpacing"/>
        <w:ind w:left="1440" w:hanging="720"/>
        <w:rPr>
          <w:snapToGrid/>
          <w:color w:val="333333"/>
          <w:szCs w:val="24"/>
        </w:rPr>
      </w:pPr>
      <w:r w:rsidRPr="0060455B">
        <w:rPr>
          <w:snapToGrid/>
          <w:color w:val="333333"/>
          <w:szCs w:val="24"/>
        </w:rPr>
        <w:t>3.</w:t>
      </w:r>
      <w:r w:rsidR="00A51628">
        <w:rPr>
          <w:snapToGrid/>
          <w:color w:val="333333"/>
          <w:szCs w:val="24"/>
        </w:rPr>
        <w:tab/>
      </w:r>
      <w:r w:rsidRPr="0060455B">
        <w:rPr>
          <w:snapToGrid/>
          <w:color w:val="333333"/>
          <w:szCs w:val="24"/>
        </w:rPr>
        <w:t>Calculate a new 30-calendar-day rolling average emission rate for each subsequent calendar day pursuant to (b)1 and 2 above; and</w:t>
      </w:r>
    </w:p>
    <w:p w:rsidR="00A51628" w:rsidRDefault="00A51628" w:rsidP="00A51628">
      <w:pPr>
        <w:pStyle w:val="NoSpacing"/>
        <w:ind w:left="1440" w:hanging="720"/>
        <w:rPr>
          <w:snapToGrid/>
          <w:color w:val="333333"/>
          <w:szCs w:val="24"/>
        </w:rPr>
      </w:pPr>
    </w:p>
    <w:p w:rsidR="00A51628" w:rsidRDefault="000B202B" w:rsidP="00A51628">
      <w:pPr>
        <w:pStyle w:val="NoSpacing"/>
        <w:ind w:left="1440" w:hanging="720"/>
        <w:rPr>
          <w:snapToGrid/>
          <w:color w:val="333333"/>
          <w:szCs w:val="24"/>
        </w:rPr>
      </w:pPr>
      <w:r w:rsidRPr="0060455B">
        <w:rPr>
          <w:snapToGrid/>
          <w:color w:val="333333"/>
          <w:szCs w:val="24"/>
        </w:rPr>
        <w:t>4.</w:t>
      </w:r>
      <w:r w:rsidR="00A51628">
        <w:rPr>
          <w:snapToGrid/>
          <w:color w:val="333333"/>
          <w:szCs w:val="24"/>
        </w:rPr>
        <w:tab/>
      </w:r>
      <w:r w:rsidRPr="0060455B">
        <w:rPr>
          <w:snapToGrid/>
          <w:color w:val="333333"/>
          <w:szCs w:val="24"/>
        </w:rPr>
        <w:t xml:space="preserve">Any calendar day during which no combustion of solid fuel occurred shall not be included in the 30-calendar-day rolling average emission rate. </w:t>
      </w:r>
      <w:r w:rsidR="00A51628">
        <w:rPr>
          <w:snapToGrid/>
          <w:color w:val="333333"/>
          <w:szCs w:val="24"/>
        </w:rPr>
        <w:t xml:space="preserve"> </w:t>
      </w:r>
      <w:r w:rsidRPr="0060455B">
        <w:rPr>
          <w:snapToGrid/>
          <w:color w:val="333333"/>
          <w:szCs w:val="24"/>
        </w:rPr>
        <w:t xml:space="preserve">For example, if a source did not combust solid fuel during two calendar days of a 30-calendar-day rolling average emission rate period, the 24-hour emission rates of the 28 days during which emissions occurred would be used to determine the 30-calendar-day rolling average emission rate. </w:t>
      </w:r>
      <w:r w:rsidR="00A51628">
        <w:rPr>
          <w:snapToGrid/>
          <w:color w:val="333333"/>
          <w:szCs w:val="24"/>
        </w:rPr>
        <w:t xml:space="preserve"> </w:t>
      </w:r>
      <w:r w:rsidRPr="0060455B">
        <w:rPr>
          <w:snapToGrid/>
          <w:color w:val="333333"/>
          <w:szCs w:val="24"/>
        </w:rPr>
        <w:t>The total emissions for the 28 days would be divided by 28, not 30.</w:t>
      </w:r>
    </w:p>
    <w:p w:rsidR="00A51628" w:rsidRDefault="00A51628" w:rsidP="00A51628">
      <w:pPr>
        <w:pStyle w:val="NoSpacing"/>
        <w:ind w:left="1440" w:hanging="720"/>
        <w:rPr>
          <w:snapToGrid/>
          <w:color w:val="333333"/>
          <w:szCs w:val="24"/>
        </w:rPr>
      </w:pPr>
    </w:p>
    <w:p w:rsidR="00A51628" w:rsidRDefault="00A51628" w:rsidP="00A51628">
      <w:pPr>
        <w:pStyle w:val="NoSpacing"/>
        <w:ind w:left="720" w:hanging="720"/>
        <w:rPr>
          <w:snapToGrid/>
          <w:color w:val="333333"/>
          <w:szCs w:val="24"/>
        </w:rPr>
      </w:pPr>
      <w:r>
        <w:rPr>
          <w:snapToGrid/>
          <w:color w:val="333333"/>
          <w:szCs w:val="24"/>
        </w:rPr>
        <w:t>(c)</w:t>
      </w:r>
      <w:r>
        <w:rPr>
          <w:snapToGrid/>
          <w:color w:val="333333"/>
          <w:szCs w:val="24"/>
        </w:rPr>
        <w:tab/>
      </w:r>
      <w:r w:rsidR="000B202B" w:rsidRPr="0060455B">
        <w:rPr>
          <w:snapToGrid/>
          <w:color w:val="333333"/>
          <w:szCs w:val="24"/>
        </w:rPr>
        <w:t>For purposes of N.J.A.C. 7:27-10.2(h), when calculating a SO</w:t>
      </w:r>
      <w:r w:rsidR="000B202B" w:rsidRPr="0060455B">
        <w:rPr>
          <w:snapToGrid/>
          <w:color w:val="333333"/>
          <w:szCs w:val="24"/>
          <w:vertAlign w:val="subscript"/>
        </w:rPr>
        <w:t>2</w:t>
      </w:r>
      <w:r w:rsidR="000B202B" w:rsidRPr="0060455B">
        <w:rPr>
          <w:snapToGrid/>
          <w:color w:val="333333"/>
          <w:szCs w:val="24"/>
        </w:rPr>
        <w:t xml:space="preserve"> emission rate for an affected coal-fired unit, the owner or operator may exclude SO</w:t>
      </w:r>
      <w:r w:rsidR="000B202B" w:rsidRPr="0060455B">
        <w:rPr>
          <w:snapToGrid/>
          <w:color w:val="333333"/>
          <w:szCs w:val="24"/>
          <w:vertAlign w:val="subscript"/>
        </w:rPr>
        <w:t>2</w:t>
      </w:r>
      <w:r w:rsidR="000B202B" w:rsidRPr="0060455B">
        <w:rPr>
          <w:snapToGrid/>
          <w:color w:val="333333"/>
          <w:szCs w:val="24"/>
        </w:rPr>
        <w:t xml:space="preserve"> emissions as follows:</w:t>
      </w:r>
    </w:p>
    <w:p w:rsidR="00A51628" w:rsidRDefault="00A51628" w:rsidP="00A51628">
      <w:pPr>
        <w:pStyle w:val="NoSpacing"/>
        <w:ind w:left="1440" w:hanging="720"/>
        <w:rPr>
          <w:snapToGrid/>
          <w:color w:val="333333"/>
          <w:szCs w:val="24"/>
        </w:rPr>
      </w:pPr>
    </w:p>
    <w:p w:rsidR="00A51628" w:rsidRDefault="00A51628" w:rsidP="00A51628">
      <w:pPr>
        <w:pStyle w:val="NoSpacing"/>
        <w:ind w:left="1440" w:hanging="720"/>
        <w:rPr>
          <w:snapToGrid/>
          <w:color w:val="333333"/>
          <w:szCs w:val="24"/>
        </w:rPr>
      </w:pPr>
      <w:r>
        <w:rPr>
          <w:snapToGrid/>
          <w:color w:val="333333"/>
          <w:szCs w:val="24"/>
        </w:rPr>
        <w:t>1.</w:t>
      </w:r>
      <w:r>
        <w:rPr>
          <w:snapToGrid/>
          <w:color w:val="333333"/>
          <w:szCs w:val="24"/>
        </w:rPr>
        <w:tab/>
      </w:r>
      <w:r w:rsidR="000B202B" w:rsidRPr="0060455B">
        <w:rPr>
          <w:snapToGrid/>
          <w:color w:val="333333"/>
          <w:szCs w:val="24"/>
        </w:rPr>
        <w:t>In calculating a 30-calendar-day rolling average SO</w:t>
      </w:r>
      <w:r w:rsidR="000B202B" w:rsidRPr="0060455B">
        <w:rPr>
          <w:snapToGrid/>
          <w:color w:val="333333"/>
          <w:szCs w:val="24"/>
          <w:vertAlign w:val="subscript"/>
        </w:rPr>
        <w:t>2</w:t>
      </w:r>
      <w:r w:rsidR="000B202B" w:rsidRPr="0060455B">
        <w:rPr>
          <w:snapToGrid/>
          <w:color w:val="333333"/>
          <w:szCs w:val="24"/>
        </w:rPr>
        <w:t xml:space="preserve"> emission rate for a unit that has ceased firing fossil fuel, for </w:t>
      </w:r>
      <w:proofErr w:type="gramStart"/>
      <w:r w:rsidR="000B202B" w:rsidRPr="0060455B">
        <w:rPr>
          <w:snapToGrid/>
          <w:color w:val="333333"/>
          <w:szCs w:val="24"/>
        </w:rPr>
        <w:t>a period of time</w:t>
      </w:r>
      <w:proofErr w:type="gramEnd"/>
      <w:r w:rsidR="000B202B" w:rsidRPr="0060455B">
        <w:rPr>
          <w:snapToGrid/>
          <w:color w:val="333333"/>
          <w:szCs w:val="24"/>
        </w:rPr>
        <w:t xml:space="preserve"> not to exceed two hours, from the restart of the unit to the time that the unit is fired with coal; and</w:t>
      </w:r>
    </w:p>
    <w:p w:rsidR="00A51628" w:rsidRDefault="00A51628" w:rsidP="00A51628">
      <w:pPr>
        <w:pStyle w:val="NoSpacing"/>
        <w:ind w:left="1440" w:hanging="720"/>
        <w:rPr>
          <w:snapToGrid/>
          <w:color w:val="333333"/>
          <w:szCs w:val="24"/>
        </w:rPr>
      </w:pPr>
    </w:p>
    <w:p w:rsidR="00A51628" w:rsidRDefault="00A51628" w:rsidP="00A51628">
      <w:pPr>
        <w:pStyle w:val="NoSpacing"/>
        <w:ind w:left="1440" w:hanging="720"/>
        <w:rPr>
          <w:snapToGrid/>
          <w:color w:val="333333"/>
          <w:szCs w:val="24"/>
        </w:rPr>
      </w:pPr>
      <w:r>
        <w:rPr>
          <w:snapToGrid/>
          <w:color w:val="333333"/>
          <w:szCs w:val="24"/>
        </w:rPr>
        <w:t>2.</w:t>
      </w:r>
      <w:r>
        <w:rPr>
          <w:snapToGrid/>
          <w:color w:val="333333"/>
          <w:szCs w:val="24"/>
        </w:rPr>
        <w:tab/>
      </w:r>
      <w:r w:rsidR="000B202B" w:rsidRPr="0060455B">
        <w:rPr>
          <w:snapToGrid/>
          <w:color w:val="333333"/>
          <w:szCs w:val="24"/>
        </w:rPr>
        <w:t>In calculating a 24-hour SO</w:t>
      </w:r>
      <w:r w:rsidR="000B202B" w:rsidRPr="0060455B">
        <w:rPr>
          <w:snapToGrid/>
          <w:color w:val="333333"/>
          <w:szCs w:val="24"/>
          <w:vertAlign w:val="subscript"/>
        </w:rPr>
        <w:t>2</w:t>
      </w:r>
      <w:r w:rsidR="000B202B" w:rsidRPr="0060455B">
        <w:rPr>
          <w:snapToGrid/>
          <w:color w:val="333333"/>
          <w:szCs w:val="24"/>
        </w:rPr>
        <w:t xml:space="preserve"> emission rate for a unit, the </w:t>
      </w:r>
      <w:proofErr w:type="gramStart"/>
      <w:r w:rsidR="000B202B" w:rsidRPr="0060455B">
        <w:rPr>
          <w:snapToGrid/>
          <w:color w:val="333333"/>
          <w:szCs w:val="24"/>
        </w:rPr>
        <w:t>period of time</w:t>
      </w:r>
      <w:proofErr w:type="gramEnd"/>
      <w:r w:rsidR="000B202B" w:rsidRPr="0060455B">
        <w:rPr>
          <w:snapToGrid/>
          <w:color w:val="333333"/>
          <w:szCs w:val="24"/>
        </w:rPr>
        <w:t xml:space="preserve"> in which the unit is not fired with coal.</w:t>
      </w:r>
    </w:p>
    <w:p w:rsidR="00A51628" w:rsidRDefault="00A51628" w:rsidP="00A51628">
      <w:pPr>
        <w:pStyle w:val="NoSpacing"/>
        <w:ind w:left="1440" w:hanging="720"/>
        <w:rPr>
          <w:snapToGrid/>
          <w:color w:val="333333"/>
          <w:szCs w:val="24"/>
        </w:rPr>
      </w:pPr>
    </w:p>
    <w:p w:rsidR="000B202B" w:rsidRPr="0060455B" w:rsidRDefault="00A51628" w:rsidP="00A51628">
      <w:pPr>
        <w:pStyle w:val="NoSpacing"/>
        <w:ind w:left="720" w:hanging="720"/>
        <w:rPr>
          <w:snapToGrid/>
          <w:color w:val="333333"/>
          <w:szCs w:val="24"/>
        </w:rPr>
      </w:pPr>
      <w:r>
        <w:rPr>
          <w:snapToGrid/>
          <w:color w:val="333333"/>
          <w:szCs w:val="24"/>
        </w:rPr>
        <w:t>(d)</w:t>
      </w:r>
      <w:r>
        <w:rPr>
          <w:snapToGrid/>
          <w:color w:val="333333"/>
          <w:szCs w:val="24"/>
        </w:rPr>
        <w:tab/>
      </w:r>
      <w:r w:rsidR="000B202B" w:rsidRPr="0060455B">
        <w:rPr>
          <w:snapToGrid/>
          <w:color w:val="333333"/>
          <w:szCs w:val="24"/>
        </w:rPr>
        <w:t>The owner or operator submitting a written application to the Department pursuant to (a)1 above shall submit the application to the following address:</w:t>
      </w:r>
    </w:p>
    <w:p w:rsidR="00CD4C7C" w:rsidRPr="0060455B" w:rsidRDefault="00CD4C7C" w:rsidP="0060455B">
      <w:pPr>
        <w:widowControl/>
        <w:rPr>
          <w:snapToGrid/>
          <w:color w:val="333333"/>
          <w:szCs w:val="24"/>
        </w:rPr>
      </w:pPr>
    </w:p>
    <w:p w:rsidR="000B202B" w:rsidRPr="0060455B" w:rsidRDefault="000B202B" w:rsidP="00A51628">
      <w:pPr>
        <w:widowControl/>
        <w:ind w:left="720"/>
        <w:rPr>
          <w:snapToGrid/>
          <w:color w:val="333333"/>
          <w:szCs w:val="24"/>
        </w:rPr>
      </w:pPr>
      <w:r w:rsidRPr="0060455B">
        <w:rPr>
          <w:snapToGrid/>
          <w:color w:val="333333"/>
          <w:szCs w:val="24"/>
        </w:rPr>
        <w:t>Department of Environmental Protection</w:t>
      </w:r>
      <w:r w:rsidRPr="0060455B">
        <w:rPr>
          <w:snapToGrid/>
          <w:color w:val="333333"/>
          <w:szCs w:val="24"/>
        </w:rPr>
        <w:br/>
        <w:t>Division of Air Quality</w:t>
      </w:r>
      <w:r w:rsidRPr="0060455B">
        <w:rPr>
          <w:snapToGrid/>
          <w:color w:val="333333"/>
          <w:szCs w:val="24"/>
        </w:rPr>
        <w:br/>
        <w:t>Air Quality Permitting Program</w:t>
      </w:r>
      <w:r w:rsidRPr="0060455B">
        <w:rPr>
          <w:snapToGrid/>
          <w:color w:val="333333"/>
          <w:szCs w:val="24"/>
        </w:rPr>
        <w:br/>
        <w:t>Bureau of Air Permits</w:t>
      </w:r>
      <w:r w:rsidRPr="0060455B">
        <w:rPr>
          <w:snapToGrid/>
          <w:color w:val="333333"/>
          <w:szCs w:val="24"/>
        </w:rPr>
        <w:br/>
        <w:t>401 East State Street</w:t>
      </w:r>
      <w:r w:rsidRPr="0060455B">
        <w:rPr>
          <w:snapToGrid/>
          <w:color w:val="333333"/>
          <w:szCs w:val="24"/>
        </w:rPr>
        <w:br/>
        <w:t>Mail Code 401-02</w:t>
      </w:r>
      <w:r w:rsidRPr="0060455B">
        <w:rPr>
          <w:snapToGrid/>
          <w:color w:val="333333"/>
          <w:szCs w:val="24"/>
        </w:rPr>
        <w:br/>
        <w:t>PO Box 420</w:t>
      </w:r>
      <w:r w:rsidRPr="0060455B">
        <w:rPr>
          <w:snapToGrid/>
          <w:color w:val="333333"/>
          <w:szCs w:val="24"/>
        </w:rPr>
        <w:br/>
        <w:t>Trenton, NJ 08625-0420</w:t>
      </w:r>
    </w:p>
    <w:p w:rsidR="00FE738F" w:rsidRPr="0060455B" w:rsidRDefault="00FE738F" w:rsidP="0060455B">
      <w:pPr>
        <w:pStyle w:val="NoSpacing"/>
        <w:rPr>
          <w:szCs w:val="24"/>
        </w:rPr>
      </w:pPr>
    </w:p>
    <w:sectPr w:rsidR="00FE738F" w:rsidRPr="0060455B" w:rsidSect="00C70840">
      <w:type w:val="continuous"/>
      <w:pgSz w:w="12240" w:h="15840"/>
      <w:pgMar w:top="1440" w:right="1224" w:bottom="144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40" w:rsidRDefault="00215D40">
      <w:r>
        <w:separator/>
      </w:r>
    </w:p>
  </w:endnote>
  <w:endnote w:type="continuationSeparator" w:id="0">
    <w:p w:rsidR="00215D40" w:rsidRDefault="0021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4F" w:rsidRDefault="001F444F" w:rsidP="008F3E06">
    <w:pPr>
      <w:pStyle w:val="Footer"/>
      <w:jc w:val="center"/>
    </w:pPr>
    <w:r>
      <w:rPr>
        <w:rStyle w:val="PageNumber"/>
      </w:rPr>
      <w:fldChar w:fldCharType="begin"/>
    </w:r>
    <w:r>
      <w:rPr>
        <w:rStyle w:val="PageNumber"/>
      </w:rPr>
      <w:instrText xml:space="preserve"> PAGE </w:instrText>
    </w:r>
    <w:r>
      <w:rPr>
        <w:rStyle w:val="PageNumber"/>
      </w:rPr>
      <w:fldChar w:fldCharType="separate"/>
    </w:r>
    <w:r w:rsidR="00091C1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91C1A">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40" w:rsidRDefault="00215D40">
      <w:r>
        <w:separator/>
      </w:r>
    </w:p>
  </w:footnote>
  <w:footnote w:type="continuationSeparator" w:id="0">
    <w:p w:rsidR="00215D40" w:rsidRDefault="0021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4F" w:rsidRPr="0060455B" w:rsidRDefault="00C86F8E" w:rsidP="0060455B">
    <w:pPr>
      <w:pStyle w:val="Header"/>
      <w:jc w:val="center"/>
      <w:rPr>
        <w:sz w:val="18"/>
        <w:szCs w:val="18"/>
      </w:rPr>
    </w:pPr>
    <w:r w:rsidRPr="0060455B">
      <w:rPr>
        <w:i/>
        <w:sz w:val="18"/>
        <w:szCs w:val="18"/>
      </w:rPr>
      <w:t xml:space="preserve">This is a courtesy copy of this rule.  </w:t>
    </w:r>
    <w:proofErr w:type="gramStart"/>
    <w:r w:rsidRPr="0060455B">
      <w:rPr>
        <w:i/>
        <w:sz w:val="18"/>
        <w:szCs w:val="18"/>
      </w:rPr>
      <w:t>All of</w:t>
    </w:r>
    <w:proofErr w:type="gramEnd"/>
    <w:r w:rsidRPr="0060455B">
      <w:rPr>
        <w:i/>
        <w:sz w:val="18"/>
        <w:szCs w:val="18"/>
      </w:rPr>
      <w:t xml:space="preserve"> the Department’s rules</w:t>
    </w:r>
    <w:r w:rsidR="0060455B">
      <w:rPr>
        <w:i/>
        <w:sz w:val="18"/>
        <w:szCs w:val="18"/>
      </w:rPr>
      <w:t xml:space="preserve"> </w:t>
    </w:r>
    <w:r w:rsidRPr="0060455B">
      <w:rPr>
        <w:i/>
        <w:sz w:val="18"/>
        <w:szCs w:val="18"/>
      </w:rPr>
      <w:t>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C60B1"/>
    <w:multiLevelType w:val="hybridMultilevel"/>
    <w:tmpl w:val="67DCEA0A"/>
    <w:lvl w:ilvl="0" w:tplc="7AFA2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786"/>
    <w:rsid w:val="0000725A"/>
    <w:rsid w:val="0001684B"/>
    <w:rsid w:val="00065406"/>
    <w:rsid w:val="00071348"/>
    <w:rsid w:val="00080CED"/>
    <w:rsid w:val="00091C1A"/>
    <w:rsid w:val="000B202B"/>
    <w:rsid w:val="000B75BE"/>
    <w:rsid w:val="000C0D72"/>
    <w:rsid w:val="001204C4"/>
    <w:rsid w:val="00133900"/>
    <w:rsid w:val="00137843"/>
    <w:rsid w:val="00161C8C"/>
    <w:rsid w:val="00195AD0"/>
    <w:rsid w:val="001E1F3E"/>
    <w:rsid w:val="001F444F"/>
    <w:rsid w:val="00215D40"/>
    <w:rsid w:val="002B5FB9"/>
    <w:rsid w:val="002C704B"/>
    <w:rsid w:val="002E3295"/>
    <w:rsid w:val="002F66E4"/>
    <w:rsid w:val="00336E12"/>
    <w:rsid w:val="00347040"/>
    <w:rsid w:val="003604BE"/>
    <w:rsid w:val="00361361"/>
    <w:rsid w:val="00376392"/>
    <w:rsid w:val="003E6F13"/>
    <w:rsid w:val="00443786"/>
    <w:rsid w:val="0046251F"/>
    <w:rsid w:val="004B0D7B"/>
    <w:rsid w:val="00526D46"/>
    <w:rsid w:val="00530E57"/>
    <w:rsid w:val="0055068A"/>
    <w:rsid w:val="005C6140"/>
    <w:rsid w:val="0060455B"/>
    <w:rsid w:val="00636661"/>
    <w:rsid w:val="00665F87"/>
    <w:rsid w:val="006D1F7D"/>
    <w:rsid w:val="006E56B5"/>
    <w:rsid w:val="007B04E0"/>
    <w:rsid w:val="00800393"/>
    <w:rsid w:val="00830159"/>
    <w:rsid w:val="008678E3"/>
    <w:rsid w:val="008E50A4"/>
    <w:rsid w:val="008F3E06"/>
    <w:rsid w:val="00934E41"/>
    <w:rsid w:val="00936910"/>
    <w:rsid w:val="009C4713"/>
    <w:rsid w:val="009F66DE"/>
    <w:rsid w:val="00A37C6B"/>
    <w:rsid w:val="00A51628"/>
    <w:rsid w:val="00A67FEC"/>
    <w:rsid w:val="00A928EF"/>
    <w:rsid w:val="00B82FD8"/>
    <w:rsid w:val="00C02DB9"/>
    <w:rsid w:val="00C70840"/>
    <w:rsid w:val="00C86F8E"/>
    <w:rsid w:val="00CC66FD"/>
    <w:rsid w:val="00CD4C7C"/>
    <w:rsid w:val="00D01522"/>
    <w:rsid w:val="00D06EC6"/>
    <w:rsid w:val="00D20951"/>
    <w:rsid w:val="00D4053F"/>
    <w:rsid w:val="00D41EF4"/>
    <w:rsid w:val="00D53261"/>
    <w:rsid w:val="00DE368A"/>
    <w:rsid w:val="00E21F76"/>
    <w:rsid w:val="00E225BB"/>
    <w:rsid w:val="00E417E1"/>
    <w:rsid w:val="00F14C16"/>
    <w:rsid w:val="00F41E71"/>
    <w:rsid w:val="00F629A5"/>
    <w:rsid w:val="00F8503A"/>
    <w:rsid w:val="00FE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ADB72"/>
  <w15:chartTrackingRefBased/>
  <w15:docId w15:val="{5A9A4A8E-09CC-480A-BB48-787781C3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786"/>
    <w:pPr>
      <w:widowControl w:val="0"/>
    </w:pPr>
    <w:rPr>
      <w:snapToGrid w:val="0"/>
      <w:sz w:val="24"/>
    </w:rPr>
  </w:style>
  <w:style w:type="paragraph" w:styleId="Heading1">
    <w:name w:val="heading 1"/>
    <w:basedOn w:val="Normal"/>
    <w:next w:val="Normal"/>
    <w:qFormat/>
    <w:rsid w:val="003470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3295"/>
    <w:pPr>
      <w:keepNext/>
      <w:spacing w:before="240" w:after="60"/>
      <w:outlineLvl w:val="1"/>
    </w:pPr>
    <w:rPr>
      <w:rFonts w:cs="Arial"/>
      <w:b/>
      <w:bCs/>
      <w:iCs/>
      <w:szCs w:val="28"/>
    </w:rPr>
  </w:style>
  <w:style w:type="paragraph" w:styleId="Heading3">
    <w:name w:val="heading 3"/>
    <w:basedOn w:val="Normal"/>
    <w:next w:val="Normal"/>
    <w:qFormat/>
    <w:rsid w:val="0034704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EC6"/>
    <w:pPr>
      <w:autoSpaceDE w:val="0"/>
      <w:autoSpaceDN w:val="0"/>
      <w:adjustRightInd w:val="0"/>
    </w:pPr>
    <w:rPr>
      <w:color w:val="000000"/>
      <w:sz w:val="24"/>
      <w:szCs w:val="24"/>
    </w:rPr>
  </w:style>
  <w:style w:type="paragraph" w:styleId="TOC1">
    <w:name w:val="toc 1"/>
    <w:basedOn w:val="Normal"/>
    <w:next w:val="Normal"/>
    <w:autoRedefine/>
    <w:semiHidden/>
    <w:rsid w:val="00A67FEC"/>
  </w:style>
  <w:style w:type="paragraph" w:styleId="Header">
    <w:name w:val="header"/>
    <w:basedOn w:val="Normal"/>
    <w:link w:val="HeaderChar"/>
    <w:rsid w:val="002F66E4"/>
    <w:pPr>
      <w:tabs>
        <w:tab w:val="center" w:pos="4320"/>
        <w:tab w:val="right" w:pos="8640"/>
      </w:tabs>
    </w:pPr>
  </w:style>
  <w:style w:type="paragraph" w:styleId="Footer">
    <w:name w:val="footer"/>
    <w:basedOn w:val="Normal"/>
    <w:rsid w:val="002F66E4"/>
    <w:pPr>
      <w:tabs>
        <w:tab w:val="center" w:pos="4320"/>
        <w:tab w:val="right" w:pos="8640"/>
      </w:tabs>
    </w:pPr>
  </w:style>
  <w:style w:type="character" w:styleId="PageNumber">
    <w:name w:val="page number"/>
    <w:basedOn w:val="DefaultParagraphFont"/>
    <w:rsid w:val="008F3E06"/>
  </w:style>
  <w:style w:type="character" w:styleId="Hyperlink">
    <w:name w:val="Hyperlink"/>
    <w:rsid w:val="000C0D72"/>
    <w:rPr>
      <w:color w:val="0000FF"/>
      <w:u w:val="single"/>
    </w:rPr>
  </w:style>
  <w:style w:type="paragraph" w:styleId="TOC2">
    <w:name w:val="toc 2"/>
    <w:basedOn w:val="Normal"/>
    <w:next w:val="Normal"/>
    <w:autoRedefine/>
    <w:semiHidden/>
    <w:rsid w:val="00CD4C7C"/>
    <w:pPr>
      <w:tabs>
        <w:tab w:val="left" w:pos="1440"/>
        <w:tab w:val="right" w:leader="dot" w:pos="8630"/>
      </w:tabs>
      <w:ind w:left="240"/>
      <w:jc w:val="center"/>
    </w:pPr>
    <w:rPr>
      <w:szCs w:val="24"/>
    </w:rPr>
  </w:style>
  <w:style w:type="paragraph" w:styleId="NoSpacing">
    <w:name w:val="No Spacing"/>
    <w:uiPriority w:val="1"/>
    <w:qFormat/>
    <w:rsid w:val="00665F87"/>
    <w:pPr>
      <w:widowControl w:val="0"/>
    </w:pPr>
    <w:rPr>
      <w:snapToGrid w:val="0"/>
      <w:sz w:val="24"/>
    </w:rPr>
  </w:style>
  <w:style w:type="character" w:styleId="HTMLTypewriter">
    <w:name w:val="HTML Typewriter"/>
    <w:uiPriority w:val="99"/>
    <w:unhideWhenUsed/>
    <w:rsid w:val="000B202B"/>
    <w:rPr>
      <w:rFonts w:ascii="Courier New" w:eastAsia="Times New Roman" w:hAnsi="Courier New" w:cs="Courier New"/>
      <w:sz w:val="20"/>
      <w:szCs w:val="20"/>
    </w:rPr>
  </w:style>
  <w:style w:type="character" w:customStyle="1" w:styleId="HeaderChar">
    <w:name w:val="Header Char"/>
    <w:link w:val="Header"/>
    <w:rsid w:val="00C86F8E"/>
    <w:rPr>
      <w:snapToGrid w:val="0"/>
      <w:sz w:val="24"/>
    </w:rPr>
  </w:style>
  <w:style w:type="table" w:styleId="TableGrid">
    <w:name w:val="Table Grid"/>
    <w:basedOn w:val="TableNormal"/>
    <w:rsid w:val="00A5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8270">
      <w:bodyDiv w:val="1"/>
      <w:marLeft w:val="0"/>
      <w:marRight w:val="0"/>
      <w:marTop w:val="0"/>
      <w:marBottom w:val="0"/>
      <w:divBdr>
        <w:top w:val="none" w:sz="0" w:space="0" w:color="auto"/>
        <w:left w:val="none" w:sz="0" w:space="0" w:color="auto"/>
        <w:bottom w:val="none" w:sz="0" w:space="0" w:color="auto"/>
        <w:right w:val="none" w:sz="0" w:space="0" w:color="auto"/>
      </w:divBdr>
      <w:divsChild>
        <w:div w:id="1034765958">
          <w:marLeft w:val="300"/>
          <w:marRight w:val="300"/>
          <w:marTop w:val="0"/>
          <w:marBottom w:val="0"/>
          <w:divBdr>
            <w:top w:val="none" w:sz="0" w:space="0" w:color="auto"/>
            <w:left w:val="none" w:sz="0" w:space="0" w:color="auto"/>
            <w:bottom w:val="none" w:sz="0" w:space="0" w:color="auto"/>
            <w:right w:val="none" w:sz="0" w:space="0" w:color="auto"/>
          </w:divBdr>
        </w:div>
      </w:divsChild>
    </w:div>
    <w:div w:id="17512658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788">
          <w:marLeft w:val="300"/>
          <w:marRight w:val="300"/>
          <w:marTop w:val="0"/>
          <w:marBottom w:val="0"/>
          <w:divBdr>
            <w:top w:val="none" w:sz="0" w:space="0" w:color="auto"/>
            <w:left w:val="none" w:sz="0" w:space="0" w:color="auto"/>
            <w:bottom w:val="none" w:sz="0" w:space="0" w:color="auto"/>
            <w:right w:val="none" w:sz="0" w:space="0" w:color="auto"/>
          </w:divBdr>
        </w:div>
      </w:divsChild>
    </w:div>
    <w:div w:id="1903906698">
      <w:bodyDiv w:val="1"/>
      <w:marLeft w:val="0"/>
      <w:marRight w:val="0"/>
      <w:marTop w:val="0"/>
      <w:marBottom w:val="0"/>
      <w:divBdr>
        <w:top w:val="none" w:sz="0" w:space="0" w:color="auto"/>
        <w:left w:val="none" w:sz="0" w:space="0" w:color="auto"/>
        <w:bottom w:val="none" w:sz="0" w:space="0" w:color="auto"/>
        <w:right w:val="none" w:sz="0" w:space="0" w:color="auto"/>
      </w:divBdr>
      <w:divsChild>
        <w:div w:id="1732271397">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Note: Allan created this Sub 10 version on 4/7/09 by creating a new file, inserting unchanged sections from the WEB PDF file of Sub 10, inserting amended and new sections from the electronic proposal document DEP sent to OAL (and then edited against the</vt:lpstr>
    </vt:vector>
  </TitlesOfParts>
  <Company>NJDEP</Company>
  <LinksUpToDate>false</LinksUpToDate>
  <CharactersWithSpaces>18916</CharactersWithSpaces>
  <SharedDoc>false</SharedDoc>
  <HLinks>
    <vt:vector size="36" baseType="variant">
      <vt:variant>
        <vt:i4>1769532</vt:i4>
      </vt:variant>
      <vt:variant>
        <vt:i4>32</vt:i4>
      </vt:variant>
      <vt:variant>
        <vt:i4>0</vt:i4>
      </vt:variant>
      <vt:variant>
        <vt:i4>5</vt:i4>
      </vt:variant>
      <vt:variant>
        <vt:lpwstr/>
      </vt:variant>
      <vt:variant>
        <vt:lpwstr>_Toc229458224</vt:lpwstr>
      </vt:variant>
      <vt:variant>
        <vt:i4>1769532</vt:i4>
      </vt:variant>
      <vt:variant>
        <vt:i4>26</vt:i4>
      </vt:variant>
      <vt:variant>
        <vt:i4>0</vt:i4>
      </vt:variant>
      <vt:variant>
        <vt:i4>5</vt:i4>
      </vt:variant>
      <vt:variant>
        <vt:lpwstr/>
      </vt:variant>
      <vt:variant>
        <vt:lpwstr>_Toc229458223</vt:lpwstr>
      </vt:variant>
      <vt:variant>
        <vt:i4>1769532</vt:i4>
      </vt:variant>
      <vt:variant>
        <vt:i4>20</vt:i4>
      </vt:variant>
      <vt:variant>
        <vt:i4>0</vt:i4>
      </vt:variant>
      <vt:variant>
        <vt:i4>5</vt:i4>
      </vt:variant>
      <vt:variant>
        <vt:lpwstr/>
      </vt:variant>
      <vt:variant>
        <vt:lpwstr>_Toc229458222</vt:lpwstr>
      </vt:variant>
      <vt:variant>
        <vt:i4>1769532</vt:i4>
      </vt:variant>
      <vt:variant>
        <vt:i4>14</vt:i4>
      </vt:variant>
      <vt:variant>
        <vt:i4>0</vt:i4>
      </vt:variant>
      <vt:variant>
        <vt:i4>5</vt:i4>
      </vt:variant>
      <vt:variant>
        <vt:lpwstr/>
      </vt:variant>
      <vt:variant>
        <vt:lpwstr>_Toc229458221</vt:lpwstr>
      </vt:variant>
      <vt:variant>
        <vt:i4>1769532</vt:i4>
      </vt:variant>
      <vt:variant>
        <vt:i4>8</vt:i4>
      </vt:variant>
      <vt:variant>
        <vt:i4>0</vt:i4>
      </vt:variant>
      <vt:variant>
        <vt:i4>5</vt:i4>
      </vt:variant>
      <vt:variant>
        <vt:lpwstr/>
      </vt:variant>
      <vt:variant>
        <vt:lpwstr>_Toc229458220</vt:lpwstr>
      </vt:variant>
      <vt:variant>
        <vt:i4>1572924</vt:i4>
      </vt:variant>
      <vt:variant>
        <vt:i4>2</vt:i4>
      </vt:variant>
      <vt:variant>
        <vt:i4>0</vt:i4>
      </vt:variant>
      <vt:variant>
        <vt:i4>5</vt:i4>
      </vt:variant>
      <vt:variant>
        <vt:lpwstr/>
      </vt:variant>
      <vt:variant>
        <vt:lpwstr>_Toc229458219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Allan created this Sub 10 version on 4/7/09 by creating a new file, inserting unchanged sections from the WEB PDF file of Sub 10, inserting amended and new sections from the electronic proposal document DEP sent to OAL (and then edited against the</dc:title>
  <dc:subject/>
  <dc:creator>awilling</dc:creator>
  <cp:keywords/>
  <cp:lastModifiedBy>Wong, Danny</cp:lastModifiedBy>
  <cp:revision>3</cp:revision>
  <dcterms:created xsi:type="dcterms:W3CDTF">2017-08-30T15:31:00Z</dcterms:created>
  <dcterms:modified xsi:type="dcterms:W3CDTF">2017-12-05T20:53:00Z</dcterms:modified>
</cp:coreProperties>
</file>