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ls" ContentType="application/vnd.ms-exce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00000" w:rsidRDefault="00C40079">
      <w:pPr>
        <w:pStyle w:val="FigureHeads"/>
        <w:rPr>
          <w:snapToGrid/>
        </w:rPr>
      </w:pPr>
      <w:bookmarkStart w:id="0" w:name="_Hlt126635580"/>
      <w:bookmarkStart w:id="1" w:name="_GoBack"/>
      <w:bookmarkEnd w:id="0"/>
      <w:bookmarkEnd w:id="1"/>
    </w:p>
    <w:p w:rsidR="00000000" w:rsidRDefault="00C40079">
      <w:pPr>
        <w:jc w:val="center"/>
        <w:rPr>
          <w:b/>
          <w:sz w:val="24"/>
        </w:rPr>
      </w:pPr>
    </w:p>
    <w:p w:rsidR="00000000" w:rsidRDefault="00C40079">
      <w:pPr>
        <w:jc w:val="center"/>
        <w:rPr>
          <w:b/>
          <w:sz w:val="24"/>
        </w:rPr>
      </w:pPr>
    </w:p>
    <w:p w:rsidR="00000000" w:rsidRDefault="00C40079">
      <w:pPr>
        <w:jc w:val="center"/>
        <w:rPr>
          <w:b/>
          <w:sz w:val="24"/>
        </w:rPr>
      </w:pPr>
    </w:p>
    <w:p w:rsidR="00000000" w:rsidRDefault="00C40079">
      <w:pPr>
        <w:jc w:val="center"/>
        <w:rPr>
          <w:b/>
          <w:sz w:val="24"/>
        </w:rPr>
      </w:pPr>
    </w:p>
    <w:p w:rsidR="00000000" w:rsidRDefault="00C40079">
      <w:pPr>
        <w:jc w:val="center"/>
        <w:rPr>
          <w:b/>
          <w:sz w:val="24"/>
        </w:rPr>
      </w:pPr>
    </w:p>
    <w:p w:rsidR="00000000" w:rsidRDefault="00C40079">
      <w:pPr>
        <w:jc w:val="center"/>
        <w:rPr>
          <w:b/>
          <w:sz w:val="24"/>
        </w:rPr>
      </w:pPr>
    </w:p>
    <w:p w:rsidR="00000000" w:rsidRDefault="00C40079">
      <w:pPr>
        <w:jc w:val="center"/>
        <w:rPr>
          <w:b/>
          <w:sz w:val="40"/>
        </w:rPr>
      </w:pPr>
      <w:r>
        <w:rPr>
          <w:b/>
          <w:sz w:val="40"/>
        </w:rPr>
        <w:t>The State of New Jersey</w:t>
      </w:r>
    </w:p>
    <w:p w:rsidR="00000000" w:rsidRDefault="00C40079">
      <w:pPr>
        <w:jc w:val="center"/>
        <w:rPr>
          <w:b/>
          <w:sz w:val="36"/>
        </w:rPr>
      </w:pPr>
      <w:r>
        <w:rPr>
          <w:b/>
          <w:sz w:val="40"/>
        </w:rPr>
        <w:t>Department of Environmental Protection</w:t>
      </w:r>
    </w:p>
    <w:p w:rsidR="00000000" w:rsidRDefault="00C40079">
      <w:pPr>
        <w:jc w:val="center"/>
        <w:rPr>
          <w:b/>
          <w:sz w:val="36"/>
        </w:rPr>
      </w:pPr>
    </w:p>
    <w:p w:rsidR="00000000" w:rsidRDefault="00C40079">
      <w:pPr>
        <w:rPr>
          <w:b/>
          <w:sz w:val="36"/>
        </w:rPr>
      </w:pPr>
    </w:p>
    <w:p w:rsidR="00000000" w:rsidRDefault="00C40079">
      <w:pPr>
        <w:jc w:val="center"/>
        <w:rPr>
          <w:b/>
          <w:sz w:val="36"/>
        </w:rPr>
      </w:pPr>
    </w:p>
    <w:p w:rsidR="00000000" w:rsidRDefault="00C40079">
      <w:pPr>
        <w:pStyle w:val="Heading1"/>
        <w:rPr>
          <w:sz w:val="32"/>
        </w:rPr>
      </w:pPr>
      <w:r>
        <w:rPr>
          <w:sz w:val="32"/>
        </w:rPr>
        <w:t>Proposed</w:t>
      </w:r>
    </w:p>
    <w:p w:rsidR="00000000" w:rsidRDefault="00C40079">
      <w:pPr>
        <w:jc w:val="center"/>
        <w:rPr>
          <w:b/>
          <w:sz w:val="32"/>
        </w:rPr>
      </w:pPr>
      <w:r>
        <w:rPr>
          <w:b/>
          <w:sz w:val="32"/>
        </w:rPr>
        <w:t xml:space="preserve">State Implementation Plan (SIP) Revisions for </w:t>
      </w:r>
    </w:p>
    <w:p w:rsidR="00000000" w:rsidRDefault="00C40079">
      <w:pPr>
        <w:jc w:val="center"/>
        <w:rPr>
          <w:b/>
          <w:sz w:val="32"/>
        </w:rPr>
      </w:pPr>
      <w:r>
        <w:rPr>
          <w:b/>
          <w:sz w:val="32"/>
        </w:rPr>
        <w:t xml:space="preserve">the Attainment and Maintenance of the </w:t>
      </w:r>
    </w:p>
    <w:p w:rsidR="00000000" w:rsidRDefault="00C40079">
      <w:pPr>
        <w:pStyle w:val="BodyText"/>
      </w:pPr>
      <w:r>
        <w:t>8-Hour Carbon Monoxide National Ambient Air Quality Standard, 1-Hour Ozone National Ambi</w:t>
      </w:r>
      <w:r>
        <w:t>ent Air Quality Standard, and</w:t>
      </w:r>
    </w:p>
    <w:p w:rsidR="00000000" w:rsidRDefault="00C40079">
      <w:pPr>
        <w:pStyle w:val="BodyText"/>
        <w:rPr>
          <w:sz w:val="36"/>
        </w:rPr>
      </w:pPr>
      <w:r>
        <w:t>Fine Particulate Matter National Ambient Air Quality Standard; and the 2002 Periodic Emission Inventory</w:t>
      </w:r>
    </w:p>
    <w:p w:rsidR="00000000" w:rsidRDefault="00C40079">
      <w:pPr>
        <w:jc w:val="center"/>
        <w:rPr>
          <w:b/>
          <w:sz w:val="28"/>
        </w:rPr>
      </w:pPr>
    </w:p>
    <w:p w:rsidR="00000000" w:rsidRDefault="00C40079">
      <w:pPr>
        <w:jc w:val="center"/>
        <w:rPr>
          <w:b/>
          <w:sz w:val="28"/>
        </w:rPr>
      </w:pPr>
    </w:p>
    <w:p w:rsidR="00000000" w:rsidRDefault="00C40079">
      <w:pPr>
        <w:jc w:val="center"/>
        <w:rPr>
          <w:sz w:val="36"/>
        </w:rPr>
      </w:pPr>
    </w:p>
    <w:p w:rsidR="00000000" w:rsidRDefault="00C40079">
      <w:pPr>
        <w:jc w:val="center"/>
        <w:rPr>
          <w:sz w:val="36"/>
        </w:rPr>
      </w:pPr>
    </w:p>
    <w:p w:rsidR="00000000" w:rsidRDefault="00C40079">
      <w:pPr>
        <w:jc w:val="center"/>
        <w:rPr>
          <w:sz w:val="36"/>
        </w:rPr>
      </w:pPr>
    </w:p>
    <w:p w:rsidR="00000000" w:rsidRDefault="00C40079">
      <w:pPr>
        <w:jc w:val="center"/>
        <w:rPr>
          <w:sz w:val="36"/>
        </w:rPr>
      </w:pPr>
    </w:p>
    <w:p w:rsidR="00000000" w:rsidRDefault="00C40079">
      <w:pPr>
        <w:jc w:val="center"/>
        <w:rPr>
          <w:sz w:val="36"/>
        </w:rPr>
      </w:pPr>
    </w:p>
    <w:p w:rsidR="00000000" w:rsidRDefault="00C40079">
      <w:pPr>
        <w:jc w:val="center"/>
        <w:rPr>
          <w:sz w:val="36"/>
        </w:rPr>
      </w:pPr>
    </w:p>
    <w:p w:rsidR="00000000" w:rsidRDefault="00C40079">
      <w:pPr>
        <w:jc w:val="center"/>
        <w:rPr>
          <w:sz w:val="36"/>
        </w:rPr>
      </w:pPr>
    </w:p>
    <w:p w:rsidR="00000000" w:rsidRDefault="00C40079">
      <w:pPr>
        <w:jc w:val="center"/>
        <w:rPr>
          <w:sz w:val="36"/>
        </w:rPr>
      </w:pPr>
    </w:p>
    <w:p w:rsidR="00000000" w:rsidRDefault="00C40079">
      <w:pPr>
        <w:jc w:val="center"/>
        <w:rPr>
          <w:sz w:val="36"/>
        </w:rPr>
      </w:pPr>
    </w:p>
    <w:p w:rsidR="00000000" w:rsidRDefault="00C40079">
      <w:pPr>
        <w:jc w:val="center"/>
        <w:rPr>
          <w:sz w:val="36"/>
        </w:rPr>
      </w:pPr>
    </w:p>
    <w:p w:rsidR="00000000" w:rsidRDefault="00C40079">
      <w:pPr>
        <w:jc w:val="center"/>
        <w:rPr>
          <w:b/>
          <w:sz w:val="36"/>
        </w:rPr>
      </w:pPr>
      <w:r>
        <w:rPr>
          <w:b/>
          <w:sz w:val="36"/>
        </w:rPr>
        <w:t>February 2006</w:t>
      </w:r>
      <w:r>
        <w:rPr>
          <w:b/>
          <w:sz w:val="36"/>
        </w:rPr>
        <w:br/>
      </w:r>
    </w:p>
    <w:p w:rsidR="00000000" w:rsidRDefault="00C40079">
      <w:pPr>
        <w:jc w:val="center"/>
        <w:rPr>
          <w:b/>
          <w:sz w:val="24"/>
        </w:rPr>
        <w:sectPr w:rsidR="00000000">
          <w:headerReference w:type="default" r:id="rId7"/>
          <w:footerReference w:type="even" r:id="rId8"/>
          <w:footerReference w:type="default" r:id="rId9"/>
          <w:headerReference w:type="first" r:id="rId10"/>
          <w:pgSz w:w="12240" w:h="15840"/>
          <w:pgMar w:top="1440" w:right="1440" w:bottom="1440" w:left="1440" w:header="720" w:footer="720" w:gutter="0"/>
          <w:pgNumType w:fmt="lowerRoman" w:start="1"/>
          <w:cols w:space="720"/>
          <w:titlePg/>
          <w:docGrid w:linePitch="360"/>
        </w:sectPr>
      </w:pPr>
    </w:p>
    <w:p w:rsidR="00000000" w:rsidRDefault="00C40079">
      <w:pPr>
        <w:jc w:val="center"/>
        <w:rPr>
          <w:b/>
          <w:sz w:val="24"/>
        </w:rPr>
      </w:pPr>
    </w:p>
    <w:p w:rsidR="00000000" w:rsidRDefault="00C40079">
      <w:pPr>
        <w:jc w:val="center"/>
        <w:rPr>
          <w:b/>
          <w:sz w:val="24"/>
        </w:rPr>
      </w:pPr>
      <w:bookmarkStart w:id="2" w:name="Preface"/>
      <w:bookmarkStart w:id="3" w:name="_Hlt126633460"/>
      <w:bookmarkEnd w:id="3"/>
      <w:r>
        <w:rPr>
          <w:b/>
          <w:sz w:val="24"/>
        </w:rPr>
        <w:t>Preface</w:t>
      </w:r>
      <w:bookmarkEnd w:id="2"/>
    </w:p>
    <w:p w:rsidR="00000000" w:rsidRDefault="00C40079">
      <w:pPr>
        <w:jc w:val="both"/>
        <w:rPr>
          <w:sz w:val="24"/>
        </w:rPr>
      </w:pPr>
    </w:p>
    <w:p w:rsidR="00000000" w:rsidRDefault="00C40079">
      <w:pPr>
        <w:pStyle w:val="Level2"/>
        <w:widowControl/>
      </w:pPr>
      <w:r>
        <w:t>New Jersey is proposing revisions to several State Implementation Plans (SIP) that c</w:t>
      </w:r>
      <w:r>
        <w:t>over the attainment and maintenance of the 8-Hour Carbon Monoxide National Ambient Air Quality Standard, the 1-Hour Ozone National Ambient Air Quality Standard, and the Annual Fine Particulate Matter National Ambient Air Quality Standard.  In addition, the</w:t>
      </w:r>
      <w:r>
        <w:t xml:space="preserve"> 2002 Periodic Emission Inventory is being submitted. </w:t>
      </w:r>
    </w:p>
    <w:p w:rsidR="00000000" w:rsidRDefault="00C40079">
      <w:pPr>
        <w:ind w:firstLine="360"/>
        <w:rPr>
          <w:sz w:val="24"/>
        </w:rPr>
      </w:pPr>
    </w:p>
    <w:p w:rsidR="00000000" w:rsidRDefault="00C40079">
      <w:pPr>
        <w:rPr>
          <w:snapToGrid w:val="0"/>
          <w:sz w:val="24"/>
        </w:rPr>
      </w:pPr>
      <w:r>
        <w:rPr>
          <w:sz w:val="24"/>
        </w:rPr>
        <w:t>Specifically, proposed SIP revisions include updated c</w:t>
      </w:r>
      <w:r>
        <w:rPr>
          <w:snapToGrid w:val="0"/>
          <w:sz w:val="24"/>
        </w:rPr>
        <w:t>arbon monoxide and ozone budgets for northern New Jersey for transportation conformity purposes that incorporate updated planning assumptions; a r</w:t>
      </w:r>
      <w:r>
        <w:rPr>
          <w:snapToGrid w:val="0"/>
          <w:sz w:val="24"/>
        </w:rPr>
        <w:t xml:space="preserve">evised general conformity emission budget for McGuire Air Force Base to ensure that increases in activity at the McGuire Air Force Base conform with the ozone SIP; </w:t>
      </w:r>
      <w:r>
        <w:rPr>
          <w:sz w:val="24"/>
        </w:rPr>
        <w:t>a fine particulate matter, PM</w:t>
      </w:r>
      <w:r>
        <w:rPr>
          <w:sz w:val="24"/>
          <w:vertAlign w:val="subscript"/>
        </w:rPr>
        <w:t>2.5,</w:t>
      </w:r>
      <w:r>
        <w:rPr>
          <w:sz w:val="24"/>
        </w:rPr>
        <w:t xml:space="preserve"> transportation conformity budget for northern New Jersey f</w:t>
      </w:r>
      <w:r>
        <w:rPr>
          <w:sz w:val="24"/>
        </w:rPr>
        <w:t>or the interim period prior to the PM</w:t>
      </w:r>
      <w:r>
        <w:rPr>
          <w:sz w:val="24"/>
          <w:vertAlign w:val="subscript"/>
        </w:rPr>
        <w:t>2.5</w:t>
      </w:r>
      <w:r>
        <w:rPr>
          <w:sz w:val="24"/>
        </w:rPr>
        <w:t xml:space="preserve"> attainment demonstration SIP; a </w:t>
      </w:r>
      <w:r>
        <w:rPr>
          <w:snapToGrid w:val="0"/>
          <w:sz w:val="24"/>
        </w:rPr>
        <w:t xml:space="preserve">carbon monoxide limited maintenance plan for Camden County and the nine not-classified areas for the second ten-year compliance period; and the 2002 periodic emission inventory. </w:t>
      </w:r>
    </w:p>
    <w:p w:rsidR="00000000" w:rsidRDefault="00C40079">
      <w:pPr>
        <w:rPr>
          <w:sz w:val="24"/>
          <w:u w:val="single"/>
        </w:rPr>
      </w:pPr>
    </w:p>
    <w:p w:rsidR="00000000" w:rsidRDefault="00C40079">
      <w:pPr>
        <w:pStyle w:val="Heading3"/>
      </w:pPr>
      <w:bookmarkStart w:id="4" w:name="Acknowledgments"/>
      <w:bookmarkStart w:id="5" w:name="_Hlt126633466"/>
      <w:bookmarkEnd w:id="5"/>
      <w:r>
        <w:t>Ack</w:t>
      </w:r>
      <w:r>
        <w:t>nowledgments</w:t>
      </w:r>
      <w:bookmarkEnd w:id="4"/>
    </w:p>
    <w:p w:rsidR="00000000" w:rsidRDefault="00C40079">
      <w:pPr>
        <w:jc w:val="center"/>
        <w:rPr>
          <w:sz w:val="24"/>
        </w:rPr>
      </w:pPr>
    </w:p>
    <w:p w:rsidR="00000000" w:rsidRDefault="00C40079">
      <w:pPr>
        <w:pStyle w:val="Level2"/>
        <w:widowControl/>
      </w:pPr>
      <w:r>
        <w:t>The New Jersey Department of Environmental Protection acknowledges the efforts and assistance of the many agencies and individuals whose contributions were instrumental in the preparation of this State Implementation Plan Revision.  In partic</w:t>
      </w:r>
      <w:r>
        <w:t>ular, the New Jersey Department of Environmental Protection wishes to acknowledge the many individuals within the New Jersey Department of Transportation, the United States Environmental Protection Agency Region 2, and the North Jersey Transportation Plann</w:t>
      </w:r>
      <w:r>
        <w:t>ing Authority, the Delaware Valley Regional Planning Commission, and as well as staff within the New Jersey Department of Environmental Protection for their assistance and guidance.</w:t>
      </w:r>
    </w:p>
    <w:p w:rsidR="00000000" w:rsidRDefault="00C40079">
      <w:pPr>
        <w:rPr>
          <w:sz w:val="24"/>
        </w:rPr>
      </w:pPr>
    </w:p>
    <w:p w:rsidR="00000000" w:rsidRDefault="00C40079">
      <w:pPr>
        <w:jc w:val="center"/>
        <w:rPr>
          <w:b/>
          <w:sz w:val="24"/>
        </w:rPr>
        <w:sectPr w:rsidR="00000000">
          <w:pgSz w:w="12240" w:h="15840"/>
          <w:pgMar w:top="1440" w:right="1440" w:bottom="1440" w:left="1440" w:header="720" w:footer="720" w:gutter="0"/>
          <w:pgNumType w:fmt="lowerRoman" w:start="1"/>
          <w:cols w:space="720"/>
          <w:docGrid w:linePitch="360"/>
        </w:sectPr>
      </w:pPr>
    </w:p>
    <w:p w:rsidR="00000000" w:rsidRDefault="00C40079">
      <w:pPr>
        <w:jc w:val="center"/>
        <w:rPr>
          <w:b/>
          <w:sz w:val="24"/>
        </w:rPr>
      </w:pPr>
    </w:p>
    <w:p w:rsidR="00000000" w:rsidRDefault="00C40079">
      <w:pPr>
        <w:jc w:val="center"/>
        <w:rPr>
          <w:b/>
          <w:sz w:val="24"/>
        </w:rPr>
      </w:pPr>
      <w:bookmarkStart w:id="6" w:name="_Hlt126641077"/>
      <w:bookmarkStart w:id="7" w:name="TOC"/>
      <w:bookmarkEnd w:id="6"/>
      <w:r>
        <w:rPr>
          <w:b/>
          <w:sz w:val="24"/>
        </w:rPr>
        <w:t>Table of Contents</w:t>
      </w:r>
      <w:bookmarkEnd w:id="7"/>
    </w:p>
    <w:p w:rsidR="00000000" w:rsidRDefault="00C40079">
      <w:pPr>
        <w:jc w:val="center"/>
        <w:rPr>
          <w:b/>
          <w:sz w:val="24"/>
        </w:rPr>
      </w:pPr>
    </w:p>
    <w:p w:rsidR="00000000" w:rsidRDefault="00C40079">
      <w:pPr>
        <w:rPr>
          <w:b/>
          <w:sz w:val="24"/>
        </w:rPr>
      </w:pPr>
    </w:p>
    <w:p w:rsidR="00000000" w:rsidRDefault="00C40079">
      <w:pPr>
        <w:pStyle w:val="Heading2"/>
        <w:tabs>
          <w:tab w:val="clear" w:pos="8640"/>
          <w:tab w:val="left" w:leader="dot" w:pos="9000"/>
        </w:tabs>
        <w:ind w:right="720"/>
        <w:jc w:val="left"/>
      </w:pPr>
      <w:r>
        <w:t>Preface</w:t>
      </w:r>
      <w:r>
        <w:tab/>
      </w:r>
      <w:bookmarkStart w:id="8" w:name="_Hlt126633457"/>
      <w:r>
        <w:fldChar w:fldCharType="begin"/>
      </w:r>
      <w:r>
        <w:instrText xml:space="preserve"> PAGEREF Preface \h </w:instrText>
      </w:r>
      <w:r>
        <w:fldChar w:fldCharType="separate"/>
      </w:r>
      <w:r>
        <w:rPr>
          <w:noProof/>
        </w:rPr>
        <w:t>i</w:t>
      </w:r>
      <w:r>
        <w:fldChar w:fldCharType="end"/>
      </w:r>
      <w:bookmarkEnd w:id="8"/>
    </w:p>
    <w:p w:rsidR="00000000" w:rsidRDefault="00C40079">
      <w:pPr>
        <w:pStyle w:val="Heading2"/>
        <w:tabs>
          <w:tab w:val="clear" w:pos="8640"/>
          <w:tab w:val="left" w:leader="dot" w:pos="9000"/>
        </w:tabs>
        <w:ind w:right="720"/>
        <w:jc w:val="left"/>
      </w:pPr>
      <w:r>
        <w:t>Acknowledgements</w:t>
      </w:r>
      <w:r>
        <w:tab/>
      </w:r>
      <w:bookmarkStart w:id="9" w:name="_Hlt126633464"/>
      <w:r>
        <w:fldChar w:fldCharType="begin"/>
      </w:r>
      <w:r>
        <w:instrText xml:space="preserve"> PAGEREF Acknowledgments \h </w:instrText>
      </w:r>
      <w:r>
        <w:fldChar w:fldCharType="separate"/>
      </w:r>
      <w:r>
        <w:rPr>
          <w:noProof/>
        </w:rPr>
        <w:t>i</w:t>
      </w:r>
      <w:r>
        <w:fldChar w:fldCharType="end"/>
      </w:r>
      <w:bookmarkEnd w:id="9"/>
    </w:p>
    <w:p w:rsidR="00000000" w:rsidRDefault="00C40079">
      <w:pPr>
        <w:pStyle w:val="Heading2"/>
        <w:tabs>
          <w:tab w:val="clear" w:pos="8640"/>
          <w:tab w:val="left" w:leader="dot" w:pos="9000"/>
        </w:tabs>
        <w:ind w:right="720"/>
        <w:jc w:val="left"/>
      </w:pPr>
      <w:r>
        <w:t>Table of Contents</w:t>
      </w:r>
      <w:r>
        <w:tab/>
      </w:r>
      <w:bookmarkStart w:id="10" w:name="_Hlt126633469"/>
      <w:bookmarkStart w:id="11" w:name="_Hlt126633593"/>
      <w:bookmarkEnd w:id="11"/>
      <w:r>
        <w:fldChar w:fldCharType="begin"/>
      </w:r>
      <w:r>
        <w:instrText xml:space="preserve"> PAGEREF TOC \h </w:instrText>
      </w:r>
      <w:r>
        <w:fldChar w:fldCharType="separate"/>
      </w:r>
      <w:r>
        <w:rPr>
          <w:noProof/>
        </w:rPr>
        <w:t>ii</w:t>
      </w:r>
      <w:r>
        <w:fldChar w:fldCharType="end"/>
      </w:r>
      <w:bookmarkEnd w:id="10"/>
    </w:p>
    <w:p w:rsidR="00000000" w:rsidRDefault="00C40079">
      <w:pPr>
        <w:pStyle w:val="Heading2"/>
        <w:tabs>
          <w:tab w:val="clear" w:pos="8640"/>
          <w:tab w:val="left" w:leader="dot" w:pos="9000"/>
        </w:tabs>
        <w:ind w:right="720"/>
        <w:jc w:val="left"/>
      </w:pPr>
      <w:r>
        <w:t>List of Tables</w:t>
      </w:r>
      <w:r>
        <w:tab/>
      </w:r>
      <w:bookmarkStart w:id="12" w:name="_Hlt126633482"/>
      <w:r>
        <w:fldChar w:fldCharType="begin"/>
      </w:r>
      <w:r>
        <w:instrText xml:space="preserve"> PAGEREF List_of_Tables \h </w:instrText>
      </w:r>
      <w:r>
        <w:fldChar w:fldCharType="separate"/>
      </w:r>
      <w:r>
        <w:rPr>
          <w:noProof/>
        </w:rPr>
        <w:t>iv</w:t>
      </w:r>
      <w:r>
        <w:fldChar w:fldCharType="end"/>
      </w:r>
      <w:bookmarkEnd w:id="12"/>
    </w:p>
    <w:p w:rsidR="00000000" w:rsidRDefault="00C40079">
      <w:pPr>
        <w:pStyle w:val="Heading2"/>
        <w:tabs>
          <w:tab w:val="clear" w:pos="8640"/>
          <w:tab w:val="left" w:leader="dot" w:pos="9000"/>
        </w:tabs>
        <w:ind w:right="720"/>
        <w:jc w:val="left"/>
      </w:pPr>
      <w:r>
        <w:t>List of Figures</w:t>
      </w:r>
      <w:r>
        <w:tab/>
      </w:r>
      <w:bookmarkStart w:id="13" w:name="_Hlt126633488"/>
      <w:r>
        <w:fldChar w:fldCharType="begin"/>
      </w:r>
      <w:r>
        <w:instrText xml:space="preserve"> PAGEREF List_of_Figures \h </w:instrText>
      </w:r>
      <w:r>
        <w:fldChar w:fldCharType="separate"/>
      </w:r>
      <w:r>
        <w:rPr>
          <w:noProof/>
        </w:rPr>
        <w:t>v</w:t>
      </w:r>
      <w:r>
        <w:fldChar w:fldCharType="end"/>
      </w:r>
      <w:bookmarkEnd w:id="13"/>
    </w:p>
    <w:p w:rsidR="00000000" w:rsidRDefault="00C40079">
      <w:pPr>
        <w:pStyle w:val="Heading2"/>
        <w:tabs>
          <w:tab w:val="clear" w:pos="8640"/>
          <w:tab w:val="left" w:leader="dot" w:pos="9000"/>
        </w:tabs>
        <w:ind w:right="720"/>
        <w:jc w:val="left"/>
      </w:pPr>
      <w:r>
        <w:t>List of Appendices and Attachments</w:t>
      </w:r>
      <w:r>
        <w:tab/>
      </w:r>
      <w:bookmarkStart w:id="14" w:name="_Hlt126641092"/>
      <w:r>
        <w:fldChar w:fldCharType="begin"/>
      </w:r>
      <w:r>
        <w:instrText xml:space="preserve"> PAGEREF List_of_Appendices \h </w:instrText>
      </w:r>
      <w:r>
        <w:fldChar w:fldCharType="separate"/>
      </w:r>
      <w:r>
        <w:rPr>
          <w:noProof/>
        </w:rPr>
        <w:t>vi</w:t>
      </w:r>
      <w:r>
        <w:fldChar w:fldCharType="end"/>
      </w:r>
      <w:bookmarkEnd w:id="14"/>
    </w:p>
    <w:p w:rsidR="00000000" w:rsidRDefault="00C40079">
      <w:pPr>
        <w:pStyle w:val="Heading5"/>
        <w:tabs>
          <w:tab w:val="left" w:leader="dot" w:pos="9000"/>
        </w:tabs>
        <w:ind w:right="720"/>
      </w:pPr>
      <w:r>
        <w:t xml:space="preserve">Acronyms </w:t>
      </w:r>
      <w:r>
        <w:t>and Abbreviations</w:t>
      </w:r>
      <w:r>
        <w:tab/>
      </w:r>
      <w:bookmarkStart w:id="15" w:name="_Hlt123616807"/>
      <w:r>
        <w:fldChar w:fldCharType="begin"/>
      </w:r>
      <w:r>
        <w:instrText xml:space="preserve"> PAGEREF Acronyms \h </w:instrText>
      </w:r>
      <w:r>
        <w:fldChar w:fldCharType="separate"/>
      </w:r>
      <w:r>
        <w:rPr>
          <w:noProof/>
        </w:rPr>
        <w:t>vii</w:t>
      </w:r>
      <w:r>
        <w:fldChar w:fldCharType="end"/>
      </w:r>
      <w:bookmarkEnd w:id="15"/>
    </w:p>
    <w:p w:rsidR="00000000" w:rsidRDefault="00C40079">
      <w:pPr>
        <w:pStyle w:val="Heading2"/>
        <w:tabs>
          <w:tab w:val="clear" w:pos="8640"/>
          <w:tab w:val="left" w:leader="dot" w:pos="9000"/>
        </w:tabs>
        <w:ind w:right="720"/>
        <w:jc w:val="left"/>
      </w:pPr>
      <w:r>
        <w:t>Executive Summary</w:t>
      </w:r>
      <w:r>
        <w:tab/>
      </w:r>
      <w:bookmarkStart w:id="16" w:name="_Hlt126641145"/>
      <w:r>
        <w:fldChar w:fldCharType="begin"/>
      </w:r>
      <w:r>
        <w:instrText xml:space="preserve"> PAGEREF Exec_Sum \h </w:instrText>
      </w:r>
      <w:r>
        <w:fldChar w:fldCharType="separate"/>
      </w:r>
      <w:r>
        <w:rPr>
          <w:noProof/>
        </w:rPr>
        <w:t>viii</w:t>
      </w:r>
      <w:r>
        <w:fldChar w:fldCharType="end"/>
      </w:r>
      <w:bookmarkEnd w:id="16"/>
    </w:p>
    <w:p w:rsidR="00000000" w:rsidRDefault="00C40079">
      <w:pPr>
        <w:pStyle w:val="Heading2"/>
        <w:numPr>
          <w:ilvl w:val="0"/>
          <w:numId w:val="1"/>
        </w:numPr>
        <w:tabs>
          <w:tab w:val="clear" w:pos="8640"/>
          <w:tab w:val="left" w:leader="dot" w:pos="9000"/>
        </w:tabs>
        <w:ind w:left="720" w:right="720" w:hanging="720"/>
        <w:jc w:val="left"/>
      </w:pPr>
      <w:r>
        <w:t>Introduction</w:t>
      </w:r>
      <w:r>
        <w:tab/>
      </w:r>
      <w:bookmarkStart w:id="17" w:name="_Hlt126633567"/>
      <w:r>
        <w:fldChar w:fldCharType="begin"/>
      </w:r>
      <w:r>
        <w:instrText xml:space="preserve"> PAGEREF Intro \h </w:instrText>
      </w:r>
      <w:r>
        <w:fldChar w:fldCharType="separate"/>
      </w:r>
      <w:r>
        <w:rPr>
          <w:noProof/>
        </w:rPr>
        <w:t>1</w:t>
      </w:r>
      <w:r>
        <w:fldChar w:fldCharType="end"/>
      </w:r>
      <w:bookmarkEnd w:id="17"/>
    </w:p>
    <w:p w:rsidR="00000000" w:rsidRDefault="00C40079">
      <w:pPr>
        <w:pStyle w:val="Heading2"/>
        <w:numPr>
          <w:ilvl w:val="0"/>
          <w:numId w:val="1"/>
        </w:numPr>
        <w:tabs>
          <w:tab w:val="clear" w:pos="8640"/>
          <w:tab w:val="left" w:leader="dot" w:pos="9000"/>
        </w:tabs>
        <w:ind w:left="720" w:right="720" w:hanging="720"/>
        <w:jc w:val="left"/>
      </w:pPr>
      <w:r>
        <w:t>Conformity Emission Budgets</w:t>
      </w:r>
      <w:r>
        <w:tab/>
      </w:r>
      <w:bookmarkStart w:id="18" w:name="_Hlt126633572"/>
      <w:r>
        <w:fldChar w:fldCharType="begin"/>
      </w:r>
      <w:r>
        <w:instrText xml:space="preserve"> PAGEREF Trans_Conf_Em_Budgets \h </w:instrText>
      </w:r>
      <w:r>
        <w:fldChar w:fldCharType="separate"/>
      </w:r>
      <w:r>
        <w:rPr>
          <w:noProof/>
        </w:rPr>
        <w:t>1</w:t>
      </w:r>
      <w:r>
        <w:fldChar w:fldCharType="end"/>
      </w:r>
      <w:bookmarkEnd w:id="18"/>
    </w:p>
    <w:p w:rsidR="00000000" w:rsidRDefault="00C40079">
      <w:pPr>
        <w:pStyle w:val="Heading2"/>
        <w:numPr>
          <w:ilvl w:val="0"/>
          <w:numId w:val="7"/>
        </w:numPr>
        <w:tabs>
          <w:tab w:val="clear" w:pos="360"/>
          <w:tab w:val="clear" w:pos="8640"/>
          <w:tab w:val="num" w:pos="1440"/>
          <w:tab w:val="left" w:leader="dot" w:pos="9000"/>
        </w:tabs>
        <w:ind w:left="1440" w:right="720" w:hanging="720"/>
        <w:jc w:val="left"/>
      </w:pPr>
      <w:r>
        <w:t>Background</w:t>
      </w:r>
      <w:r>
        <w:tab/>
      </w:r>
      <w:bookmarkStart w:id="19" w:name="_Hlt126633795"/>
      <w:r>
        <w:fldChar w:fldCharType="begin"/>
      </w:r>
      <w:r>
        <w:instrText xml:space="preserve"> PAGEREF Trans_Conf_Em_Budgets_Background \h</w:instrText>
      </w:r>
      <w:r>
        <w:instrText xml:space="preserve"> </w:instrText>
      </w:r>
      <w:r>
        <w:fldChar w:fldCharType="separate"/>
      </w:r>
      <w:r>
        <w:rPr>
          <w:noProof/>
        </w:rPr>
        <w:t>2</w:t>
      </w:r>
      <w:r>
        <w:fldChar w:fldCharType="end"/>
      </w:r>
      <w:bookmarkEnd w:id="19"/>
    </w:p>
    <w:p w:rsidR="00000000" w:rsidRDefault="00C40079">
      <w:pPr>
        <w:pStyle w:val="Heading2"/>
        <w:numPr>
          <w:ilvl w:val="0"/>
          <w:numId w:val="7"/>
        </w:numPr>
        <w:tabs>
          <w:tab w:val="clear" w:pos="360"/>
          <w:tab w:val="clear" w:pos="8640"/>
          <w:tab w:val="num" w:pos="1440"/>
          <w:tab w:val="left" w:leader="dot" w:pos="9000"/>
        </w:tabs>
        <w:ind w:left="1440" w:right="720" w:hanging="720"/>
        <w:jc w:val="left"/>
      </w:pPr>
      <w:r>
        <w:t>Revised Budgets</w:t>
      </w:r>
      <w:r>
        <w:tab/>
      </w:r>
      <w:bookmarkStart w:id="20" w:name="_Hlt126633576"/>
      <w:bookmarkStart w:id="21" w:name="_Hlt126633582"/>
      <w:bookmarkEnd w:id="21"/>
      <w:r>
        <w:fldChar w:fldCharType="begin"/>
      </w:r>
      <w:r>
        <w:instrText xml:space="preserve"> PAGEREF Revised_Budgets \h </w:instrText>
      </w:r>
      <w:r>
        <w:fldChar w:fldCharType="separate"/>
      </w:r>
      <w:r>
        <w:rPr>
          <w:noProof/>
        </w:rPr>
        <w:t>3</w:t>
      </w:r>
      <w:r>
        <w:fldChar w:fldCharType="end"/>
      </w:r>
      <w:bookmarkEnd w:id="20"/>
    </w:p>
    <w:p w:rsidR="00000000" w:rsidRDefault="00C40079">
      <w:pPr>
        <w:pStyle w:val="Heading6"/>
        <w:numPr>
          <w:ilvl w:val="0"/>
          <w:numId w:val="8"/>
        </w:numPr>
        <w:tabs>
          <w:tab w:val="clear" w:pos="360"/>
          <w:tab w:val="num" w:pos="2160"/>
          <w:tab w:val="left" w:leader="dot" w:pos="9000"/>
        </w:tabs>
        <w:ind w:left="2160" w:right="720" w:hanging="720"/>
      </w:pPr>
      <w:r>
        <w:t>1-Hour Ozone and a Carbon Monoxide Budget for Northern New Jersey</w:t>
      </w:r>
      <w:r>
        <w:tab/>
      </w:r>
      <w:bookmarkStart w:id="22" w:name="_Hlt126633805"/>
      <w:r>
        <w:fldChar w:fldCharType="begin"/>
      </w:r>
      <w:r>
        <w:instrText xml:space="preserve"> PAGEREF Ozone_and_CO_Budget \h </w:instrText>
      </w:r>
      <w:r>
        <w:fldChar w:fldCharType="separate"/>
      </w:r>
      <w:r>
        <w:rPr>
          <w:noProof/>
        </w:rPr>
        <w:t>3</w:t>
      </w:r>
      <w:r>
        <w:fldChar w:fldCharType="end"/>
      </w:r>
      <w:bookmarkEnd w:id="22"/>
    </w:p>
    <w:p w:rsidR="00000000" w:rsidRDefault="00C40079">
      <w:pPr>
        <w:numPr>
          <w:ilvl w:val="0"/>
          <w:numId w:val="15"/>
        </w:numPr>
        <w:tabs>
          <w:tab w:val="clear" w:pos="720"/>
          <w:tab w:val="num" w:pos="2880"/>
          <w:tab w:val="left" w:leader="dot" w:pos="9000"/>
        </w:tabs>
        <w:ind w:left="2880" w:right="720"/>
        <w:rPr>
          <w:sz w:val="24"/>
        </w:rPr>
      </w:pPr>
      <w:r>
        <w:rPr>
          <w:sz w:val="24"/>
        </w:rPr>
        <w:t xml:space="preserve">Effect of Updated Transportation Conformity Emission Budgets on the Carbon Monoxide Maintenance </w:t>
      </w:r>
      <w:r>
        <w:rPr>
          <w:sz w:val="24"/>
        </w:rPr>
        <w:t>Plans</w:t>
      </w:r>
      <w:r>
        <w:rPr>
          <w:sz w:val="24"/>
        </w:rPr>
        <w:tab/>
      </w:r>
      <w:bookmarkStart w:id="23" w:name="_Hlt126633888"/>
      <w:r>
        <w:rPr>
          <w:sz w:val="24"/>
        </w:rPr>
        <w:fldChar w:fldCharType="begin"/>
      </w:r>
      <w:r>
        <w:rPr>
          <w:sz w:val="24"/>
        </w:rPr>
        <w:instrText xml:space="preserve"> PAGEREF Effects_on_CO_Maintenance \h </w:instrText>
      </w:r>
      <w:r>
        <w:rPr>
          <w:sz w:val="24"/>
        </w:rPr>
      </w:r>
      <w:r>
        <w:rPr>
          <w:sz w:val="24"/>
        </w:rPr>
        <w:fldChar w:fldCharType="separate"/>
      </w:r>
      <w:r>
        <w:rPr>
          <w:noProof/>
          <w:sz w:val="24"/>
        </w:rPr>
        <w:t>9</w:t>
      </w:r>
      <w:r>
        <w:rPr>
          <w:sz w:val="24"/>
        </w:rPr>
        <w:fldChar w:fldCharType="end"/>
      </w:r>
      <w:bookmarkEnd w:id="23"/>
    </w:p>
    <w:p w:rsidR="00000000" w:rsidRDefault="00C40079">
      <w:pPr>
        <w:pStyle w:val="Heading5"/>
        <w:numPr>
          <w:ilvl w:val="0"/>
          <w:numId w:val="15"/>
        </w:numPr>
        <w:tabs>
          <w:tab w:val="clear" w:pos="720"/>
          <w:tab w:val="num" w:pos="2880"/>
          <w:tab w:val="left" w:leader="dot" w:pos="9000"/>
        </w:tabs>
        <w:ind w:left="2880" w:right="720"/>
      </w:pPr>
      <w:r>
        <w:t>Effect of Updated Transportation Conformity Emission Budgets on the Ozone Attainment Demonstration</w:t>
      </w:r>
      <w:r>
        <w:tab/>
      </w:r>
      <w:bookmarkStart w:id="24" w:name="_Hlt126634162"/>
      <w:r>
        <w:fldChar w:fldCharType="begin"/>
      </w:r>
      <w:r>
        <w:instrText xml:space="preserve"> PAGEREF Effects_on_Ozone_Attainment \h </w:instrText>
      </w:r>
      <w:r>
        <w:fldChar w:fldCharType="separate"/>
      </w:r>
      <w:r>
        <w:rPr>
          <w:noProof/>
        </w:rPr>
        <w:t>9</w:t>
      </w:r>
      <w:r>
        <w:fldChar w:fldCharType="end"/>
      </w:r>
      <w:bookmarkEnd w:id="24"/>
    </w:p>
    <w:p w:rsidR="00000000" w:rsidRDefault="00C40079">
      <w:pPr>
        <w:pStyle w:val="Heading6"/>
        <w:numPr>
          <w:ilvl w:val="0"/>
          <w:numId w:val="8"/>
        </w:numPr>
        <w:tabs>
          <w:tab w:val="clear" w:pos="360"/>
          <w:tab w:val="num" w:pos="2160"/>
          <w:tab w:val="left" w:leader="dot" w:pos="9000"/>
        </w:tabs>
        <w:ind w:left="2160" w:right="720" w:hanging="720"/>
      </w:pPr>
      <w:r>
        <w:t>Amendment to the McGuire Air Force Base Conformity Budget</w:t>
      </w:r>
      <w:r>
        <w:tab/>
      </w:r>
      <w:bookmarkStart w:id="25" w:name="_Hlt126634225"/>
      <w:r>
        <w:fldChar w:fldCharType="begin"/>
      </w:r>
      <w:r>
        <w:instrText xml:space="preserve"> P</w:instrText>
      </w:r>
      <w:r>
        <w:instrText xml:space="preserve">AGEREF McGuire_Amend \h </w:instrText>
      </w:r>
      <w:r>
        <w:fldChar w:fldCharType="separate"/>
      </w:r>
      <w:r>
        <w:rPr>
          <w:noProof/>
        </w:rPr>
        <w:t>12</w:t>
      </w:r>
      <w:r>
        <w:fldChar w:fldCharType="end"/>
      </w:r>
      <w:bookmarkEnd w:id="25"/>
    </w:p>
    <w:p w:rsidR="00000000" w:rsidRDefault="00C40079">
      <w:pPr>
        <w:pStyle w:val="Heading2"/>
        <w:numPr>
          <w:ilvl w:val="0"/>
          <w:numId w:val="7"/>
        </w:numPr>
        <w:tabs>
          <w:tab w:val="clear" w:pos="360"/>
          <w:tab w:val="clear" w:pos="8640"/>
          <w:tab w:val="num" w:pos="1440"/>
          <w:tab w:val="left" w:leader="dot" w:pos="9000"/>
        </w:tabs>
        <w:ind w:left="1440" w:right="720" w:hanging="720"/>
        <w:jc w:val="left"/>
      </w:pPr>
      <w:r>
        <w:t>New Budget – Particulate Matter Budget for Northern New Jersey</w:t>
      </w:r>
      <w:r>
        <w:tab/>
      </w:r>
      <w:bookmarkStart w:id="26" w:name="_Hlt126634237"/>
      <w:r>
        <w:fldChar w:fldCharType="begin"/>
      </w:r>
      <w:r>
        <w:instrText xml:space="preserve"> PAGEREF PM_Budget \h </w:instrText>
      </w:r>
      <w:r>
        <w:fldChar w:fldCharType="separate"/>
      </w:r>
      <w:r>
        <w:rPr>
          <w:noProof/>
        </w:rPr>
        <w:t>15</w:t>
      </w:r>
      <w:r>
        <w:fldChar w:fldCharType="end"/>
      </w:r>
      <w:bookmarkEnd w:id="26"/>
    </w:p>
    <w:p w:rsidR="00000000" w:rsidRDefault="00C40079">
      <w:pPr>
        <w:numPr>
          <w:ilvl w:val="0"/>
          <w:numId w:val="64"/>
        </w:numPr>
        <w:tabs>
          <w:tab w:val="left" w:pos="1260"/>
          <w:tab w:val="left" w:pos="1440"/>
          <w:tab w:val="left" w:pos="2160"/>
          <w:tab w:val="left" w:leader="dot" w:pos="9000"/>
        </w:tabs>
        <w:ind w:right="720"/>
        <w:rPr>
          <w:sz w:val="24"/>
        </w:rPr>
      </w:pPr>
      <w:r>
        <w:rPr>
          <w:sz w:val="24"/>
        </w:rPr>
        <w:t xml:space="preserve">      PM</w:t>
      </w:r>
      <w:r>
        <w:rPr>
          <w:sz w:val="24"/>
          <w:vertAlign w:val="subscript"/>
        </w:rPr>
        <w:t>2.5</w:t>
      </w:r>
      <w:r>
        <w:rPr>
          <w:sz w:val="24"/>
        </w:rPr>
        <w:t xml:space="preserve"> General Background</w:t>
      </w:r>
      <w:r>
        <w:rPr>
          <w:sz w:val="24"/>
        </w:rPr>
        <w:tab/>
      </w:r>
      <w:r>
        <w:rPr>
          <w:sz w:val="24"/>
        </w:rPr>
        <w:fldChar w:fldCharType="begin"/>
      </w:r>
      <w:r>
        <w:rPr>
          <w:sz w:val="24"/>
        </w:rPr>
        <w:instrText xml:space="preserve"> PAGEREF PM_Background \h </w:instrText>
      </w:r>
      <w:r>
        <w:rPr>
          <w:sz w:val="24"/>
        </w:rPr>
      </w:r>
      <w:r>
        <w:rPr>
          <w:sz w:val="24"/>
        </w:rPr>
        <w:fldChar w:fldCharType="separate"/>
      </w:r>
      <w:r>
        <w:rPr>
          <w:noProof/>
          <w:sz w:val="24"/>
        </w:rPr>
        <w:t>16</w:t>
      </w:r>
      <w:r>
        <w:rPr>
          <w:sz w:val="24"/>
        </w:rPr>
        <w:fldChar w:fldCharType="end"/>
      </w:r>
    </w:p>
    <w:p w:rsidR="00000000" w:rsidRDefault="00C40079">
      <w:pPr>
        <w:numPr>
          <w:ilvl w:val="0"/>
          <w:numId w:val="65"/>
        </w:numPr>
        <w:tabs>
          <w:tab w:val="left" w:pos="1440"/>
          <w:tab w:val="left" w:pos="2160"/>
          <w:tab w:val="left" w:leader="dot" w:pos="9000"/>
        </w:tabs>
        <w:ind w:right="720"/>
        <w:rPr>
          <w:sz w:val="24"/>
        </w:rPr>
      </w:pPr>
      <w:r>
        <w:rPr>
          <w:sz w:val="24"/>
        </w:rPr>
        <w:tab/>
        <w:t xml:space="preserve">2.   </w:t>
      </w:r>
      <w:r>
        <w:rPr>
          <w:sz w:val="24"/>
        </w:rPr>
        <w:tab/>
        <w:t>Establishment of the PM</w:t>
      </w:r>
      <w:r>
        <w:rPr>
          <w:sz w:val="24"/>
          <w:vertAlign w:val="subscript"/>
        </w:rPr>
        <w:t>2.5</w:t>
      </w:r>
      <w:r>
        <w:rPr>
          <w:sz w:val="24"/>
        </w:rPr>
        <w:t xml:space="preserve"> Standard</w:t>
      </w:r>
      <w:r>
        <w:rPr>
          <w:sz w:val="24"/>
        </w:rPr>
        <w:tab/>
      </w:r>
      <w:r>
        <w:rPr>
          <w:sz w:val="24"/>
        </w:rPr>
        <w:fldChar w:fldCharType="begin"/>
      </w:r>
      <w:r>
        <w:rPr>
          <w:sz w:val="24"/>
        </w:rPr>
        <w:instrText xml:space="preserve"> PAGEREF PM_Standard \h </w:instrText>
      </w:r>
      <w:r>
        <w:rPr>
          <w:sz w:val="24"/>
        </w:rPr>
      </w:r>
      <w:r>
        <w:rPr>
          <w:sz w:val="24"/>
        </w:rPr>
        <w:fldChar w:fldCharType="separate"/>
      </w:r>
      <w:r>
        <w:rPr>
          <w:noProof/>
          <w:sz w:val="24"/>
        </w:rPr>
        <w:t>16</w:t>
      </w:r>
      <w:r>
        <w:rPr>
          <w:sz w:val="24"/>
        </w:rPr>
        <w:fldChar w:fldCharType="end"/>
      </w:r>
    </w:p>
    <w:p w:rsidR="00000000" w:rsidRDefault="00C40079">
      <w:pPr>
        <w:tabs>
          <w:tab w:val="left" w:pos="1440"/>
          <w:tab w:val="left" w:pos="2160"/>
          <w:tab w:val="left" w:leader="dot" w:pos="9000"/>
        </w:tabs>
        <w:ind w:right="720"/>
        <w:rPr>
          <w:sz w:val="24"/>
        </w:rPr>
      </w:pPr>
      <w:r>
        <w:rPr>
          <w:sz w:val="24"/>
        </w:rPr>
        <w:tab/>
        <w:t>3.</w:t>
      </w:r>
      <w:r>
        <w:rPr>
          <w:sz w:val="24"/>
        </w:rPr>
        <w:tab/>
        <w:t>Designation of PM</w:t>
      </w:r>
      <w:r>
        <w:rPr>
          <w:sz w:val="24"/>
          <w:vertAlign w:val="subscript"/>
        </w:rPr>
        <w:t>2.5</w:t>
      </w:r>
      <w:r>
        <w:rPr>
          <w:sz w:val="24"/>
        </w:rPr>
        <w:t xml:space="preserve"> Nonattainment Areas in New Jersey</w:t>
      </w:r>
      <w:r>
        <w:rPr>
          <w:sz w:val="24"/>
        </w:rPr>
        <w:tab/>
      </w:r>
      <w:bookmarkStart w:id="27" w:name="_Hlt126637289"/>
      <w:bookmarkStart w:id="28" w:name="_Hlt126637609"/>
      <w:bookmarkEnd w:id="28"/>
      <w:r>
        <w:rPr>
          <w:sz w:val="24"/>
        </w:rPr>
        <w:fldChar w:fldCharType="begin"/>
      </w:r>
      <w:r>
        <w:rPr>
          <w:sz w:val="24"/>
        </w:rPr>
        <w:instrText xml:space="preserve"> PAGEREF PM_Designation \h </w:instrText>
      </w:r>
      <w:r>
        <w:rPr>
          <w:sz w:val="24"/>
        </w:rPr>
      </w:r>
      <w:r>
        <w:rPr>
          <w:sz w:val="24"/>
        </w:rPr>
        <w:fldChar w:fldCharType="separate"/>
      </w:r>
      <w:r>
        <w:rPr>
          <w:noProof/>
          <w:sz w:val="24"/>
        </w:rPr>
        <w:t>17</w:t>
      </w:r>
      <w:r>
        <w:rPr>
          <w:sz w:val="24"/>
        </w:rPr>
        <w:fldChar w:fldCharType="end"/>
      </w:r>
      <w:bookmarkEnd w:id="27"/>
    </w:p>
    <w:p w:rsidR="00000000" w:rsidRDefault="00C40079">
      <w:pPr>
        <w:numPr>
          <w:ilvl w:val="0"/>
          <w:numId w:val="65"/>
        </w:numPr>
        <w:tabs>
          <w:tab w:val="left" w:pos="1440"/>
          <w:tab w:val="left" w:leader="dot" w:pos="9000"/>
        </w:tabs>
        <w:ind w:right="720"/>
        <w:rPr>
          <w:sz w:val="24"/>
        </w:rPr>
      </w:pPr>
      <w:r>
        <w:rPr>
          <w:sz w:val="24"/>
        </w:rPr>
        <w:tab/>
        <w:t>4.        Transportation Conformity for PM</w:t>
      </w:r>
      <w:r>
        <w:rPr>
          <w:sz w:val="24"/>
          <w:vertAlign w:val="subscript"/>
        </w:rPr>
        <w:t>2.5</w:t>
      </w:r>
      <w:r>
        <w:rPr>
          <w:sz w:val="24"/>
        </w:rPr>
        <w:tab/>
      </w:r>
      <w:bookmarkStart w:id="29" w:name="_Hlt126641383"/>
      <w:r>
        <w:rPr>
          <w:sz w:val="24"/>
        </w:rPr>
        <w:fldChar w:fldCharType="begin"/>
      </w:r>
      <w:r>
        <w:rPr>
          <w:sz w:val="24"/>
        </w:rPr>
        <w:instrText xml:space="preserve"> PAGEREF Trans_Conf_PM \h </w:instrText>
      </w:r>
      <w:r>
        <w:rPr>
          <w:sz w:val="24"/>
        </w:rPr>
      </w:r>
      <w:r>
        <w:rPr>
          <w:sz w:val="24"/>
        </w:rPr>
        <w:fldChar w:fldCharType="separate"/>
      </w:r>
      <w:r>
        <w:rPr>
          <w:noProof/>
          <w:sz w:val="24"/>
        </w:rPr>
        <w:t>18</w:t>
      </w:r>
      <w:r>
        <w:rPr>
          <w:sz w:val="24"/>
        </w:rPr>
        <w:fldChar w:fldCharType="end"/>
      </w:r>
      <w:bookmarkEnd w:id="29"/>
    </w:p>
    <w:p w:rsidR="00000000" w:rsidRDefault="00C40079">
      <w:pPr>
        <w:numPr>
          <w:ilvl w:val="0"/>
          <w:numId w:val="66"/>
        </w:numPr>
        <w:tabs>
          <w:tab w:val="left" w:pos="1440"/>
          <w:tab w:val="left" w:leader="dot" w:pos="9000"/>
        </w:tabs>
        <w:ind w:right="720"/>
        <w:rPr>
          <w:sz w:val="24"/>
        </w:rPr>
      </w:pPr>
      <w:r>
        <w:rPr>
          <w:sz w:val="24"/>
        </w:rPr>
        <w:t xml:space="preserve">     Early PM</w:t>
      </w:r>
      <w:r>
        <w:rPr>
          <w:sz w:val="24"/>
          <w:vertAlign w:val="subscript"/>
        </w:rPr>
        <w:t>2.5</w:t>
      </w:r>
      <w:r>
        <w:rPr>
          <w:sz w:val="24"/>
        </w:rPr>
        <w:t xml:space="preserve"> Transportation Conformity Emission Budgets</w:t>
      </w:r>
      <w:r>
        <w:rPr>
          <w:sz w:val="24"/>
        </w:rPr>
        <w:tab/>
      </w:r>
      <w:r>
        <w:rPr>
          <w:sz w:val="24"/>
        </w:rPr>
        <w:fldChar w:fldCharType="begin"/>
      </w:r>
      <w:r>
        <w:rPr>
          <w:sz w:val="24"/>
        </w:rPr>
        <w:instrText xml:space="preserve"> PAGEREF Early_PM_</w:instrText>
      </w:r>
      <w:r>
        <w:rPr>
          <w:sz w:val="24"/>
        </w:rPr>
        <w:instrText xml:space="preserve">Budget \h </w:instrText>
      </w:r>
      <w:r>
        <w:rPr>
          <w:sz w:val="24"/>
        </w:rPr>
      </w:r>
      <w:r>
        <w:rPr>
          <w:sz w:val="24"/>
        </w:rPr>
        <w:fldChar w:fldCharType="separate"/>
      </w:r>
      <w:r>
        <w:rPr>
          <w:noProof/>
          <w:sz w:val="24"/>
        </w:rPr>
        <w:t>20</w:t>
      </w:r>
      <w:r>
        <w:rPr>
          <w:sz w:val="24"/>
        </w:rPr>
        <w:fldChar w:fldCharType="end"/>
      </w:r>
    </w:p>
    <w:p w:rsidR="00000000" w:rsidRDefault="00C40079">
      <w:pPr>
        <w:numPr>
          <w:ilvl w:val="0"/>
          <w:numId w:val="27"/>
        </w:numPr>
        <w:tabs>
          <w:tab w:val="clear" w:pos="720"/>
          <w:tab w:val="left" w:pos="1440"/>
          <w:tab w:val="num" w:pos="2880"/>
          <w:tab w:val="left" w:leader="dot" w:pos="9000"/>
        </w:tabs>
        <w:ind w:left="2880" w:right="720" w:hanging="720"/>
        <w:rPr>
          <w:sz w:val="24"/>
        </w:rPr>
      </w:pPr>
      <w:r>
        <w:rPr>
          <w:sz w:val="24"/>
        </w:rPr>
        <w:t>PM</w:t>
      </w:r>
      <w:r>
        <w:rPr>
          <w:sz w:val="24"/>
          <w:vertAlign w:val="subscript"/>
        </w:rPr>
        <w:t>2.5</w:t>
      </w:r>
      <w:r>
        <w:rPr>
          <w:sz w:val="24"/>
        </w:rPr>
        <w:t xml:space="preserve"> and Annual NO</w:t>
      </w:r>
      <w:r>
        <w:rPr>
          <w:sz w:val="24"/>
          <w:vertAlign w:val="subscript"/>
        </w:rPr>
        <w:t>x</w:t>
      </w:r>
      <w:r>
        <w:rPr>
          <w:sz w:val="24"/>
        </w:rPr>
        <w:t xml:space="preserve"> Inventories for 2002 and 2009</w:t>
      </w:r>
      <w:r>
        <w:rPr>
          <w:sz w:val="24"/>
        </w:rPr>
        <w:tab/>
      </w:r>
      <w:r>
        <w:rPr>
          <w:sz w:val="24"/>
        </w:rPr>
        <w:fldChar w:fldCharType="begin"/>
      </w:r>
      <w:r>
        <w:rPr>
          <w:sz w:val="24"/>
        </w:rPr>
        <w:instrText xml:space="preserve"> PAGEREF PM_and_NOx_Inv \h </w:instrText>
      </w:r>
      <w:r>
        <w:rPr>
          <w:sz w:val="24"/>
        </w:rPr>
      </w:r>
      <w:r>
        <w:rPr>
          <w:sz w:val="24"/>
        </w:rPr>
        <w:fldChar w:fldCharType="separate"/>
      </w:r>
      <w:r>
        <w:rPr>
          <w:noProof/>
          <w:sz w:val="24"/>
        </w:rPr>
        <w:t>20</w:t>
      </w:r>
      <w:r>
        <w:rPr>
          <w:sz w:val="24"/>
        </w:rPr>
        <w:fldChar w:fldCharType="end"/>
      </w:r>
    </w:p>
    <w:p w:rsidR="00000000" w:rsidRDefault="00C40079">
      <w:pPr>
        <w:pStyle w:val="Heading5"/>
        <w:numPr>
          <w:ilvl w:val="0"/>
          <w:numId w:val="27"/>
        </w:numPr>
        <w:tabs>
          <w:tab w:val="clear" w:pos="720"/>
          <w:tab w:val="left" w:pos="1440"/>
          <w:tab w:val="num" w:pos="2880"/>
          <w:tab w:val="left" w:leader="dot" w:pos="9000"/>
        </w:tabs>
        <w:ind w:left="2880" w:right="720" w:hanging="720"/>
      </w:pPr>
      <w:r>
        <w:t>Early Transportation Conformity Emission Budgets for PM</w:t>
      </w:r>
      <w:r>
        <w:rPr>
          <w:vertAlign w:val="subscript"/>
        </w:rPr>
        <w:t>2.5</w:t>
      </w:r>
      <w:r>
        <w:t xml:space="preserve"> and Annual NO</w:t>
      </w:r>
      <w:r>
        <w:rPr>
          <w:vertAlign w:val="subscript"/>
        </w:rPr>
        <w:t>x</w:t>
      </w:r>
      <w:r>
        <w:tab/>
      </w:r>
      <w:bookmarkStart w:id="30" w:name="_Hlt126641472"/>
      <w:r>
        <w:fldChar w:fldCharType="begin"/>
      </w:r>
      <w:r>
        <w:instrText xml:space="preserve"> PAGEREF Early_TC_PM_NOx \h </w:instrText>
      </w:r>
      <w:r>
        <w:fldChar w:fldCharType="separate"/>
      </w:r>
      <w:r>
        <w:rPr>
          <w:noProof/>
        </w:rPr>
        <w:t>24</w:t>
      </w:r>
      <w:r>
        <w:fldChar w:fldCharType="end"/>
      </w:r>
      <w:bookmarkEnd w:id="30"/>
    </w:p>
    <w:p w:rsidR="00000000" w:rsidRDefault="00C40079">
      <w:pPr>
        <w:pStyle w:val="Heading2"/>
        <w:numPr>
          <w:ilvl w:val="0"/>
          <w:numId w:val="1"/>
        </w:numPr>
        <w:tabs>
          <w:tab w:val="clear" w:pos="8640"/>
          <w:tab w:val="left" w:leader="dot" w:pos="9000"/>
        </w:tabs>
        <w:ind w:left="720" w:right="720" w:hanging="720"/>
        <w:jc w:val="left"/>
      </w:pPr>
      <w:r>
        <w:t>8-Hour Carbon Monoxide Limited Maintenance Pla</w:t>
      </w:r>
      <w:r>
        <w:t xml:space="preserve">n for Southern New Jersey and the Nine Not-Classified Areas </w:t>
      </w:r>
      <w:r>
        <w:tab/>
      </w:r>
      <w:bookmarkStart w:id="31" w:name="_Hlt126641478"/>
      <w:r>
        <w:fldChar w:fldCharType="begin"/>
      </w:r>
      <w:r>
        <w:instrText xml:space="preserve"> PAGEREF CO_LMP \h </w:instrText>
      </w:r>
      <w:r>
        <w:fldChar w:fldCharType="separate"/>
      </w:r>
      <w:r>
        <w:rPr>
          <w:noProof/>
        </w:rPr>
        <w:t>26</w:t>
      </w:r>
      <w:r>
        <w:fldChar w:fldCharType="end"/>
      </w:r>
      <w:bookmarkEnd w:id="31"/>
    </w:p>
    <w:p w:rsidR="00000000" w:rsidRDefault="00C40079">
      <w:pPr>
        <w:numPr>
          <w:ilvl w:val="0"/>
          <w:numId w:val="28"/>
        </w:numPr>
        <w:tabs>
          <w:tab w:val="clear" w:pos="720"/>
          <w:tab w:val="num" w:pos="1440"/>
          <w:tab w:val="left" w:leader="dot" w:pos="9000"/>
        </w:tabs>
        <w:ind w:left="1440" w:right="720" w:hanging="720"/>
        <w:rPr>
          <w:sz w:val="24"/>
        </w:rPr>
      </w:pPr>
      <w:r>
        <w:rPr>
          <w:sz w:val="24"/>
        </w:rPr>
        <w:t>Background</w:t>
      </w:r>
      <w:r>
        <w:rPr>
          <w:sz w:val="24"/>
        </w:rPr>
        <w:tab/>
      </w:r>
      <w:bookmarkStart w:id="32" w:name="_Hlt126641483"/>
      <w:r>
        <w:rPr>
          <w:sz w:val="24"/>
        </w:rPr>
        <w:fldChar w:fldCharType="begin"/>
      </w:r>
      <w:r>
        <w:rPr>
          <w:sz w:val="24"/>
        </w:rPr>
        <w:instrText xml:space="preserve"> PAGEREF Background3 \h </w:instrText>
      </w:r>
      <w:r>
        <w:rPr>
          <w:sz w:val="24"/>
        </w:rPr>
      </w:r>
      <w:r>
        <w:rPr>
          <w:sz w:val="24"/>
        </w:rPr>
        <w:fldChar w:fldCharType="separate"/>
      </w:r>
      <w:r>
        <w:rPr>
          <w:noProof/>
          <w:sz w:val="24"/>
        </w:rPr>
        <w:t>26</w:t>
      </w:r>
      <w:r>
        <w:rPr>
          <w:sz w:val="24"/>
        </w:rPr>
        <w:fldChar w:fldCharType="end"/>
      </w:r>
      <w:bookmarkEnd w:id="32"/>
    </w:p>
    <w:p w:rsidR="00000000" w:rsidRDefault="00C40079">
      <w:pPr>
        <w:numPr>
          <w:ilvl w:val="0"/>
          <w:numId w:val="28"/>
        </w:numPr>
        <w:tabs>
          <w:tab w:val="clear" w:pos="720"/>
          <w:tab w:val="num" w:pos="1440"/>
          <w:tab w:val="left" w:leader="dot" w:pos="9000"/>
        </w:tabs>
        <w:ind w:left="1440" w:right="720" w:hanging="720"/>
        <w:rPr>
          <w:sz w:val="24"/>
        </w:rPr>
      </w:pPr>
      <w:r>
        <w:rPr>
          <w:sz w:val="24"/>
        </w:rPr>
        <w:t>Air Quality Update</w:t>
      </w:r>
      <w:r>
        <w:rPr>
          <w:sz w:val="24"/>
        </w:rPr>
        <w:tab/>
      </w:r>
      <w:r>
        <w:rPr>
          <w:sz w:val="24"/>
        </w:rPr>
        <w:fldChar w:fldCharType="begin"/>
      </w:r>
      <w:r>
        <w:rPr>
          <w:sz w:val="24"/>
        </w:rPr>
        <w:instrText xml:space="preserve"> PAGEREF Air_Qual_Update \h </w:instrText>
      </w:r>
      <w:r>
        <w:rPr>
          <w:sz w:val="24"/>
        </w:rPr>
      </w:r>
      <w:r>
        <w:rPr>
          <w:sz w:val="24"/>
        </w:rPr>
        <w:fldChar w:fldCharType="separate"/>
      </w:r>
      <w:r>
        <w:rPr>
          <w:noProof/>
          <w:sz w:val="24"/>
        </w:rPr>
        <w:t>28</w:t>
      </w:r>
      <w:r>
        <w:rPr>
          <w:sz w:val="24"/>
        </w:rPr>
        <w:fldChar w:fldCharType="end"/>
      </w:r>
    </w:p>
    <w:p w:rsidR="00000000" w:rsidRDefault="00C40079">
      <w:pPr>
        <w:numPr>
          <w:ilvl w:val="0"/>
          <w:numId w:val="28"/>
        </w:numPr>
        <w:tabs>
          <w:tab w:val="clear" w:pos="720"/>
          <w:tab w:val="num" w:pos="1440"/>
          <w:tab w:val="left" w:leader="dot" w:pos="9000"/>
        </w:tabs>
        <w:ind w:left="1440" w:right="720" w:hanging="720"/>
        <w:rPr>
          <w:sz w:val="24"/>
        </w:rPr>
      </w:pPr>
      <w:r>
        <w:rPr>
          <w:sz w:val="24"/>
        </w:rPr>
        <w:t>The USEPA Guidance and Requirements for Limited Maintenance Plans</w:t>
      </w:r>
      <w:r>
        <w:rPr>
          <w:sz w:val="24"/>
        </w:rPr>
        <w:tab/>
      </w:r>
      <w:bookmarkStart w:id="33" w:name="_Hlt126641491"/>
      <w:r>
        <w:rPr>
          <w:sz w:val="24"/>
        </w:rPr>
        <w:fldChar w:fldCharType="begin"/>
      </w:r>
      <w:r>
        <w:rPr>
          <w:sz w:val="24"/>
        </w:rPr>
        <w:instrText xml:space="preserve"> PAGER</w:instrText>
      </w:r>
      <w:r>
        <w:rPr>
          <w:sz w:val="24"/>
        </w:rPr>
        <w:instrText xml:space="preserve">EF EPA_Guide_LMP \h </w:instrText>
      </w:r>
      <w:r>
        <w:rPr>
          <w:sz w:val="24"/>
        </w:rPr>
      </w:r>
      <w:r>
        <w:rPr>
          <w:sz w:val="24"/>
        </w:rPr>
        <w:fldChar w:fldCharType="separate"/>
      </w:r>
      <w:r>
        <w:rPr>
          <w:noProof/>
          <w:sz w:val="24"/>
        </w:rPr>
        <w:t>30</w:t>
      </w:r>
      <w:r>
        <w:rPr>
          <w:sz w:val="24"/>
        </w:rPr>
        <w:fldChar w:fldCharType="end"/>
      </w:r>
      <w:bookmarkEnd w:id="33"/>
    </w:p>
    <w:p w:rsidR="00000000" w:rsidRDefault="00C40079">
      <w:pPr>
        <w:pStyle w:val="Heading7"/>
        <w:tabs>
          <w:tab w:val="left" w:leader="dot" w:pos="9000"/>
        </w:tabs>
        <w:ind w:right="720"/>
      </w:pPr>
      <w:r>
        <w:t>8-Hour Carbon Monoxide Maintenance Plan</w:t>
      </w:r>
      <w:r>
        <w:tab/>
      </w:r>
      <w:bookmarkStart w:id="34" w:name="_Hlt126641501"/>
      <w:r>
        <w:fldChar w:fldCharType="begin"/>
      </w:r>
      <w:r>
        <w:instrText xml:space="preserve"> PAGEREF CO_MP \h </w:instrText>
      </w:r>
      <w:r>
        <w:fldChar w:fldCharType="separate"/>
      </w:r>
      <w:r>
        <w:rPr>
          <w:noProof/>
        </w:rPr>
        <w:t>32</w:t>
      </w:r>
      <w:r>
        <w:fldChar w:fldCharType="end"/>
      </w:r>
      <w:bookmarkEnd w:id="34"/>
    </w:p>
    <w:p w:rsidR="00000000" w:rsidRDefault="00C40079">
      <w:pPr>
        <w:numPr>
          <w:ilvl w:val="0"/>
          <w:numId w:val="29"/>
        </w:numPr>
        <w:tabs>
          <w:tab w:val="clear" w:pos="360"/>
          <w:tab w:val="num" w:pos="2160"/>
          <w:tab w:val="left" w:leader="dot" w:pos="9000"/>
        </w:tabs>
        <w:ind w:left="2160" w:right="720" w:hanging="720"/>
        <w:rPr>
          <w:sz w:val="24"/>
        </w:rPr>
      </w:pPr>
      <w:r>
        <w:rPr>
          <w:sz w:val="24"/>
        </w:rPr>
        <w:t>Attainment Inventory</w:t>
      </w:r>
      <w:r>
        <w:rPr>
          <w:sz w:val="24"/>
        </w:rPr>
        <w:tab/>
      </w:r>
      <w:r>
        <w:rPr>
          <w:sz w:val="24"/>
        </w:rPr>
        <w:fldChar w:fldCharType="begin"/>
      </w:r>
      <w:r>
        <w:rPr>
          <w:sz w:val="24"/>
        </w:rPr>
        <w:instrText xml:space="preserve"> PAGEREF Att_Inv \h </w:instrText>
      </w:r>
      <w:r>
        <w:rPr>
          <w:sz w:val="24"/>
        </w:rPr>
      </w:r>
      <w:r>
        <w:rPr>
          <w:sz w:val="24"/>
        </w:rPr>
        <w:fldChar w:fldCharType="separate"/>
      </w:r>
      <w:r>
        <w:rPr>
          <w:noProof/>
          <w:sz w:val="24"/>
        </w:rPr>
        <w:t>32</w:t>
      </w:r>
      <w:r>
        <w:rPr>
          <w:sz w:val="24"/>
        </w:rPr>
        <w:fldChar w:fldCharType="end"/>
      </w:r>
    </w:p>
    <w:p w:rsidR="00000000" w:rsidRDefault="00C40079">
      <w:pPr>
        <w:numPr>
          <w:ilvl w:val="0"/>
          <w:numId w:val="29"/>
        </w:numPr>
        <w:tabs>
          <w:tab w:val="clear" w:pos="360"/>
          <w:tab w:val="num" w:pos="2160"/>
          <w:tab w:val="left" w:leader="dot" w:pos="9000"/>
        </w:tabs>
        <w:ind w:left="2160" w:right="720" w:hanging="720"/>
        <w:rPr>
          <w:sz w:val="24"/>
        </w:rPr>
      </w:pPr>
      <w:r>
        <w:rPr>
          <w:sz w:val="24"/>
        </w:rPr>
        <w:t>Maintenance Demonstration</w:t>
      </w:r>
      <w:r>
        <w:rPr>
          <w:sz w:val="24"/>
        </w:rPr>
        <w:tab/>
      </w:r>
      <w:bookmarkStart w:id="35" w:name="_Hlt126641510"/>
      <w:r>
        <w:rPr>
          <w:sz w:val="24"/>
        </w:rPr>
        <w:fldChar w:fldCharType="begin"/>
      </w:r>
      <w:r>
        <w:rPr>
          <w:sz w:val="24"/>
        </w:rPr>
        <w:instrText xml:space="preserve"> PAGEREF Maint_Demo \h </w:instrText>
      </w:r>
      <w:r>
        <w:rPr>
          <w:sz w:val="24"/>
        </w:rPr>
      </w:r>
      <w:r>
        <w:rPr>
          <w:sz w:val="24"/>
        </w:rPr>
        <w:fldChar w:fldCharType="separate"/>
      </w:r>
      <w:r>
        <w:rPr>
          <w:noProof/>
          <w:sz w:val="24"/>
        </w:rPr>
        <w:t>34</w:t>
      </w:r>
      <w:r>
        <w:rPr>
          <w:sz w:val="24"/>
        </w:rPr>
        <w:fldChar w:fldCharType="end"/>
      </w:r>
      <w:bookmarkEnd w:id="35"/>
    </w:p>
    <w:p w:rsidR="00000000" w:rsidRDefault="00C40079">
      <w:pPr>
        <w:numPr>
          <w:ilvl w:val="0"/>
          <w:numId w:val="29"/>
        </w:numPr>
        <w:tabs>
          <w:tab w:val="clear" w:pos="360"/>
          <w:tab w:val="num" w:pos="2160"/>
          <w:tab w:val="left" w:leader="dot" w:pos="9000"/>
        </w:tabs>
        <w:ind w:left="2160" w:right="720" w:hanging="720"/>
        <w:rPr>
          <w:sz w:val="24"/>
        </w:rPr>
      </w:pPr>
      <w:r>
        <w:rPr>
          <w:sz w:val="24"/>
        </w:rPr>
        <w:t>Monitoring Network</w:t>
      </w:r>
      <w:r>
        <w:rPr>
          <w:sz w:val="24"/>
        </w:rPr>
        <w:tab/>
      </w:r>
      <w:bookmarkStart w:id="36" w:name="_Hlt126641514"/>
      <w:r>
        <w:rPr>
          <w:sz w:val="24"/>
        </w:rPr>
        <w:fldChar w:fldCharType="begin"/>
      </w:r>
      <w:r>
        <w:rPr>
          <w:sz w:val="24"/>
        </w:rPr>
        <w:instrText xml:space="preserve"> PAGEREF Monitoring_Network \h </w:instrText>
      </w:r>
      <w:r>
        <w:rPr>
          <w:sz w:val="24"/>
        </w:rPr>
      </w:r>
      <w:r>
        <w:rPr>
          <w:sz w:val="24"/>
        </w:rPr>
        <w:fldChar w:fldCharType="separate"/>
      </w:r>
      <w:r>
        <w:rPr>
          <w:noProof/>
          <w:sz w:val="24"/>
        </w:rPr>
        <w:t>34</w:t>
      </w:r>
      <w:r>
        <w:rPr>
          <w:sz w:val="24"/>
        </w:rPr>
        <w:fldChar w:fldCharType="end"/>
      </w:r>
      <w:bookmarkEnd w:id="36"/>
    </w:p>
    <w:p w:rsidR="00000000" w:rsidRDefault="00C40079">
      <w:pPr>
        <w:numPr>
          <w:ilvl w:val="0"/>
          <w:numId w:val="29"/>
        </w:numPr>
        <w:tabs>
          <w:tab w:val="clear" w:pos="360"/>
          <w:tab w:val="num" w:pos="2160"/>
          <w:tab w:val="left" w:leader="dot" w:pos="9000"/>
        </w:tabs>
        <w:ind w:left="2160" w:right="720" w:hanging="720"/>
        <w:rPr>
          <w:sz w:val="24"/>
        </w:rPr>
      </w:pPr>
      <w:r>
        <w:rPr>
          <w:sz w:val="24"/>
        </w:rPr>
        <w:t>Veri</w:t>
      </w:r>
      <w:r>
        <w:rPr>
          <w:sz w:val="24"/>
        </w:rPr>
        <w:t>fication of Continued Attainment</w:t>
      </w:r>
      <w:r>
        <w:rPr>
          <w:sz w:val="24"/>
        </w:rPr>
        <w:tab/>
      </w:r>
      <w:r>
        <w:rPr>
          <w:sz w:val="24"/>
        </w:rPr>
        <w:fldChar w:fldCharType="begin"/>
      </w:r>
      <w:r>
        <w:rPr>
          <w:sz w:val="24"/>
        </w:rPr>
        <w:instrText xml:space="preserve"> PAGEREF Verif_Cont_Att \h </w:instrText>
      </w:r>
      <w:r>
        <w:rPr>
          <w:sz w:val="24"/>
        </w:rPr>
      </w:r>
      <w:r>
        <w:rPr>
          <w:sz w:val="24"/>
        </w:rPr>
        <w:fldChar w:fldCharType="separate"/>
      </w:r>
      <w:r>
        <w:rPr>
          <w:noProof/>
          <w:sz w:val="24"/>
        </w:rPr>
        <w:t>34</w:t>
      </w:r>
      <w:r>
        <w:rPr>
          <w:sz w:val="24"/>
        </w:rPr>
        <w:fldChar w:fldCharType="end"/>
      </w:r>
    </w:p>
    <w:p w:rsidR="00000000" w:rsidRDefault="00C40079">
      <w:pPr>
        <w:numPr>
          <w:ilvl w:val="0"/>
          <w:numId w:val="29"/>
        </w:numPr>
        <w:tabs>
          <w:tab w:val="clear" w:pos="360"/>
          <w:tab w:val="num" w:pos="2160"/>
          <w:tab w:val="left" w:leader="dot" w:pos="9000"/>
        </w:tabs>
        <w:ind w:left="2160" w:right="720" w:hanging="720"/>
        <w:rPr>
          <w:sz w:val="24"/>
        </w:rPr>
      </w:pPr>
      <w:r>
        <w:rPr>
          <w:sz w:val="24"/>
        </w:rPr>
        <w:t>Contingency Plan</w:t>
      </w:r>
      <w:r>
        <w:rPr>
          <w:sz w:val="24"/>
        </w:rPr>
        <w:tab/>
      </w:r>
      <w:bookmarkStart w:id="37" w:name="_Hlt126641529"/>
      <w:r>
        <w:rPr>
          <w:sz w:val="24"/>
        </w:rPr>
        <w:fldChar w:fldCharType="begin"/>
      </w:r>
      <w:r>
        <w:rPr>
          <w:sz w:val="24"/>
        </w:rPr>
        <w:instrText xml:space="preserve"> PAGEREF Contingency_Plan \h </w:instrText>
      </w:r>
      <w:r>
        <w:rPr>
          <w:sz w:val="24"/>
        </w:rPr>
      </w:r>
      <w:r>
        <w:rPr>
          <w:sz w:val="24"/>
        </w:rPr>
        <w:fldChar w:fldCharType="separate"/>
      </w:r>
      <w:r>
        <w:rPr>
          <w:noProof/>
          <w:sz w:val="24"/>
        </w:rPr>
        <w:t>36</w:t>
      </w:r>
      <w:r>
        <w:rPr>
          <w:sz w:val="24"/>
        </w:rPr>
        <w:fldChar w:fldCharType="end"/>
      </w:r>
      <w:bookmarkEnd w:id="37"/>
    </w:p>
    <w:p w:rsidR="00000000" w:rsidRDefault="00C40079">
      <w:pPr>
        <w:numPr>
          <w:ilvl w:val="0"/>
          <w:numId w:val="29"/>
        </w:numPr>
        <w:tabs>
          <w:tab w:val="clear" w:pos="360"/>
          <w:tab w:val="num" w:pos="2160"/>
          <w:tab w:val="left" w:leader="dot" w:pos="9000"/>
        </w:tabs>
        <w:ind w:left="2160" w:right="720" w:hanging="720"/>
        <w:rPr>
          <w:sz w:val="24"/>
        </w:rPr>
      </w:pPr>
      <w:r>
        <w:rPr>
          <w:sz w:val="24"/>
        </w:rPr>
        <w:t>Transportation Conformity</w:t>
      </w:r>
      <w:r>
        <w:rPr>
          <w:sz w:val="24"/>
        </w:rPr>
        <w:tab/>
      </w:r>
      <w:r>
        <w:rPr>
          <w:sz w:val="24"/>
        </w:rPr>
        <w:fldChar w:fldCharType="begin"/>
      </w:r>
      <w:r>
        <w:rPr>
          <w:sz w:val="24"/>
        </w:rPr>
        <w:instrText xml:space="preserve"> PAGEREF CO_TC \h </w:instrText>
      </w:r>
      <w:r>
        <w:rPr>
          <w:sz w:val="24"/>
        </w:rPr>
      </w:r>
      <w:r>
        <w:rPr>
          <w:sz w:val="24"/>
        </w:rPr>
        <w:fldChar w:fldCharType="separate"/>
      </w:r>
      <w:r>
        <w:rPr>
          <w:noProof/>
          <w:sz w:val="24"/>
        </w:rPr>
        <w:t>37</w:t>
      </w:r>
      <w:r>
        <w:rPr>
          <w:sz w:val="24"/>
        </w:rPr>
        <w:fldChar w:fldCharType="end"/>
      </w:r>
    </w:p>
    <w:p w:rsidR="00000000" w:rsidRDefault="00C40079">
      <w:pPr>
        <w:pStyle w:val="Heading2"/>
        <w:numPr>
          <w:ilvl w:val="0"/>
          <w:numId w:val="1"/>
        </w:numPr>
        <w:tabs>
          <w:tab w:val="clear" w:pos="8640"/>
          <w:tab w:val="left" w:leader="dot" w:pos="9000"/>
        </w:tabs>
        <w:ind w:left="720" w:right="720" w:hanging="720"/>
        <w:jc w:val="left"/>
      </w:pPr>
      <w:r>
        <w:lastRenderedPageBreak/>
        <w:t>2002 Periodic Emission Inventory</w:t>
      </w:r>
      <w:r>
        <w:tab/>
      </w:r>
      <w:r>
        <w:fldChar w:fldCharType="begin"/>
      </w:r>
      <w:r>
        <w:instrText xml:space="preserve"> PAGEREF Emission_Inv \h </w:instrText>
      </w:r>
      <w:r>
        <w:fldChar w:fldCharType="separate"/>
      </w:r>
      <w:r>
        <w:rPr>
          <w:noProof/>
        </w:rPr>
        <w:t>38</w:t>
      </w:r>
      <w:r>
        <w:fldChar w:fldCharType="end"/>
      </w:r>
    </w:p>
    <w:p w:rsidR="00000000" w:rsidRDefault="00C40079">
      <w:pPr>
        <w:pStyle w:val="Heading5"/>
        <w:numPr>
          <w:ilvl w:val="0"/>
          <w:numId w:val="47"/>
        </w:numPr>
        <w:tabs>
          <w:tab w:val="clear" w:pos="360"/>
          <w:tab w:val="num" w:pos="1440"/>
          <w:tab w:val="left" w:leader="dot" w:pos="9000"/>
        </w:tabs>
        <w:ind w:left="1440" w:right="720" w:hanging="720"/>
      </w:pPr>
      <w:r>
        <w:t>Background</w:t>
      </w:r>
      <w:r>
        <w:tab/>
      </w:r>
      <w:bookmarkStart w:id="38" w:name="_Hlt126636867"/>
      <w:r>
        <w:fldChar w:fldCharType="begin"/>
      </w:r>
      <w:r>
        <w:instrText xml:space="preserve"> PAGEREF</w:instrText>
      </w:r>
      <w:r>
        <w:instrText xml:space="preserve"> Background4 \h </w:instrText>
      </w:r>
      <w:r>
        <w:fldChar w:fldCharType="separate"/>
      </w:r>
      <w:r>
        <w:rPr>
          <w:noProof/>
        </w:rPr>
        <w:t>38</w:t>
      </w:r>
      <w:r>
        <w:fldChar w:fldCharType="end"/>
      </w:r>
      <w:bookmarkEnd w:id="38"/>
    </w:p>
    <w:p w:rsidR="00000000" w:rsidRDefault="00C40079">
      <w:pPr>
        <w:pStyle w:val="Heading5"/>
        <w:numPr>
          <w:ilvl w:val="0"/>
          <w:numId w:val="48"/>
        </w:numPr>
        <w:tabs>
          <w:tab w:val="clear" w:pos="360"/>
          <w:tab w:val="num" w:pos="2160"/>
          <w:tab w:val="left" w:leader="dot" w:pos="9000"/>
        </w:tabs>
        <w:ind w:left="2160" w:right="720" w:hanging="720"/>
      </w:pPr>
      <w:r>
        <w:t>Statutory and Regulatory Background</w:t>
      </w:r>
      <w:r>
        <w:tab/>
      </w:r>
      <w:r>
        <w:fldChar w:fldCharType="begin"/>
      </w:r>
      <w:r>
        <w:instrText xml:space="preserve"> PAGEREF Stat_Reg_Background \h </w:instrText>
      </w:r>
      <w:r>
        <w:fldChar w:fldCharType="separate"/>
      </w:r>
      <w:r>
        <w:rPr>
          <w:noProof/>
        </w:rPr>
        <w:t>38</w:t>
      </w:r>
      <w:r>
        <w:fldChar w:fldCharType="end"/>
      </w:r>
    </w:p>
    <w:p w:rsidR="00000000" w:rsidRDefault="00C40079">
      <w:pPr>
        <w:numPr>
          <w:ilvl w:val="0"/>
          <w:numId w:val="48"/>
        </w:numPr>
        <w:tabs>
          <w:tab w:val="clear" w:pos="360"/>
          <w:tab w:val="num" w:pos="2160"/>
          <w:tab w:val="left" w:leader="dot" w:pos="9000"/>
        </w:tabs>
        <w:ind w:left="2160" w:right="720" w:hanging="720"/>
        <w:rPr>
          <w:sz w:val="24"/>
        </w:rPr>
      </w:pPr>
      <w:r>
        <w:rPr>
          <w:sz w:val="24"/>
        </w:rPr>
        <w:t>Emission Inventory Overview</w:t>
      </w:r>
      <w:r>
        <w:rPr>
          <w:sz w:val="24"/>
        </w:rPr>
        <w:tab/>
      </w:r>
      <w:bookmarkStart w:id="39" w:name="_Hlt126641560"/>
      <w:r>
        <w:rPr>
          <w:sz w:val="24"/>
        </w:rPr>
        <w:fldChar w:fldCharType="begin"/>
      </w:r>
      <w:r>
        <w:rPr>
          <w:sz w:val="24"/>
        </w:rPr>
        <w:instrText xml:space="preserve"> PAGEREF Emission_Inv_Overview \h </w:instrText>
      </w:r>
      <w:r>
        <w:rPr>
          <w:sz w:val="24"/>
        </w:rPr>
      </w:r>
      <w:r>
        <w:rPr>
          <w:sz w:val="24"/>
        </w:rPr>
        <w:fldChar w:fldCharType="separate"/>
      </w:r>
      <w:r>
        <w:rPr>
          <w:noProof/>
          <w:sz w:val="24"/>
        </w:rPr>
        <w:t>38</w:t>
      </w:r>
      <w:r>
        <w:rPr>
          <w:sz w:val="24"/>
        </w:rPr>
        <w:fldChar w:fldCharType="end"/>
      </w:r>
      <w:bookmarkEnd w:id="39"/>
    </w:p>
    <w:p w:rsidR="00000000" w:rsidRDefault="00C40079">
      <w:pPr>
        <w:numPr>
          <w:ilvl w:val="0"/>
          <w:numId w:val="48"/>
        </w:numPr>
        <w:tabs>
          <w:tab w:val="clear" w:pos="360"/>
          <w:tab w:val="num" w:pos="2160"/>
          <w:tab w:val="left" w:leader="dot" w:pos="9000"/>
        </w:tabs>
        <w:ind w:left="2160" w:right="720" w:hanging="720"/>
        <w:rPr>
          <w:sz w:val="24"/>
        </w:rPr>
      </w:pPr>
      <w:r>
        <w:rPr>
          <w:sz w:val="24"/>
        </w:rPr>
        <w:t>Emission Inventory Summary</w:t>
      </w:r>
      <w:r>
        <w:rPr>
          <w:sz w:val="24"/>
        </w:rPr>
        <w:tab/>
      </w:r>
      <w:bookmarkStart w:id="40" w:name="_Hlt126637209"/>
      <w:r>
        <w:rPr>
          <w:sz w:val="24"/>
        </w:rPr>
        <w:fldChar w:fldCharType="begin"/>
      </w:r>
      <w:r>
        <w:rPr>
          <w:sz w:val="24"/>
        </w:rPr>
        <w:instrText xml:space="preserve"> PAGEREF Emission_Inv_Summary \h </w:instrText>
      </w:r>
      <w:r>
        <w:rPr>
          <w:sz w:val="24"/>
        </w:rPr>
      </w:r>
      <w:r>
        <w:rPr>
          <w:sz w:val="24"/>
        </w:rPr>
        <w:fldChar w:fldCharType="separate"/>
      </w:r>
      <w:r>
        <w:rPr>
          <w:noProof/>
          <w:sz w:val="24"/>
        </w:rPr>
        <w:t>41</w:t>
      </w:r>
      <w:r>
        <w:rPr>
          <w:sz w:val="24"/>
        </w:rPr>
        <w:fldChar w:fldCharType="end"/>
      </w:r>
      <w:bookmarkEnd w:id="40"/>
    </w:p>
    <w:p w:rsidR="00000000" w:rsidRDefault="00C40079">
      <w:pPr>
        <w:numPr>
          <w:ilvl w:val="0"/>
          <w:numId w:val="48"/>
        </w:numPr>
        <w:tabs>
          <w:tab w:val="clear" w:pos="360"/>
          <w:tab w:val="num" w:pos="2160"/>
          <w:tab w:val="left" w:leader="dot" w:pos="9000"/>
        </w:tabs>
        <w:ind w:left="2160" w:right="720" w:hanging="720"/>
        <w:rPr>
          <w:sz w:val="24"/>
        </w:rPr>
      </w:pPr>
      <w:r>
        <w:rPr>
          <w:sz w:val="24"/>
        </w:rPr>
        <w:t>Emissions Comparison Su</w:t>
      </w:r>
      <w:r>
        <w:rPr>
          <w:sz w:val="24"/>
        </w:rPr>
        <w:t>mmary</w:t>
      </w:r>
      <w:r>
        <w:rPr>
          <w:sz w:val="24"/>
        </w:rPr>
        <w:tab/>
      </w:r>
      <w:r>
        <w:rPr>
          <w:sz w:val="24"/>
        </w:rPr>
        <w:fldChar w:fldCharType="begin"/>
      </w:r>
      <w:r>
        <w:rPr>
          <w:sz w:val="24"/>
        </w:rPr>
        <w:instrText xml:space="preserve"> PAGEREF Emissions_Comparison \h </w:instrText>
      </w:r>
      <w:r>
        <w:rPr>
          <w:sz w:val="24"/>
        </w:rPr>
      </w:r>
      <w:r>
        <w:rPr>
          <w:sz w:val="24"/>
        </w:rPr>
        <w:fldChar w:fldCharType="separate"/>
      </w:r>
      <w:r>
        <w:rPr>
          <w:noProof/>
          <w:sz w:val="24"/>
        </w:rPr>
        <w:t>50</w:t>
      </w:r>
      <w:r>
        <w:rPr>
          <w:sz w:val="24"/>
        </w:rPr>
        <w:fldChar w:fldCharType="end"/>
      </w:r>
    </w:p>
    <w:p w:rsidR="00000000" w:rsidRDefault="00C40079">
      <w:pPr>
        <w:pStyle w:val="Heading2"/>
        <w:numPr>
          <w:ilvl w:val="0"/>
          <w:numId w:val="1"/>
        </w:numPr>
        <w:tabs>
          <w:tab w:val="clear" w:pos="8640"/>
          <w:tab w:val="left" w:leader="dot" w:pos="9000"/>
        </w:tabs>
        <w:ind w:left="720" w:right="720" w:hanging="720"/>
        <w:jc w:val="left"/>
      </w:pPr>
      <w:r>
        <w:t>Public Participation</w:t>
      </w:r>
      <w:r>
        <w:tab/>
      </w:r>
      <w:r>
        <w:fldChar w:fldCharType="begin"/>
      </w:r>
      <w:r>
        <w:instrText xml:space="preserve"> PAGEREF Public_Part \h </w:instrText>
      </w:r>
      <w:r>
        <w:fldChar w:fldCharType="separate"/>
      </w:r>
      <w:r>
        <w:rPr>
          <w:noProof/>
        </w:rPr>
        <w:t>50</w:t>
      </w:r>
      <w:r>
        <w:fldChar w:fldCharType="end"/>
      </w:r>
    </w:p>
    <w:p w:rsidR="00000000" w:rsidRDefault="00C40079">
      <w:pPr>
        <w:pStyle w:val="Level2"/>
        <w:widowControl/>
      </w:pPr>
      <w:r>
        <w:br w:type="page"/>
      </w:r>
    </w:p>
    <w:p w:rsidR="00000000" w:rsidRDefault="00C40079">
      <w:pPr>
        <w:pStyle w:val="Heading3"/>
      </w:pPr>
      <w:bookmarkStart w:id="41" w:name="List_of_Tables"/>
      <w:bookmarkStart w:id="42" w:name="_Hlt126633485"/>
      <w:bookmarkEnd w:id="42"/>
      <w:r>
        <w:t>List of Tables</w:t>
      </w:r>
      <w:bookmarkEnd w:id="41"/>
    </w:p>
    <w:p w:rsidR="00000000" w:rsidRDefault="00C40079">
      <w:pPr>
        <w:rPr>
          <w:b/>
          <w:sz w:val="24"/>
        </w:rPr>
      </w:pPr>
    </w:p>
    <w:p w:rsidR="00000000" w:rsidRDefault="00C40079">
      <w:pPr>
        <w:rPr>
          <w:sz w:val="24"/>
        </w:rPr>
      </w:pPr>
    </w:p>
    <w:p w:rsidR="00000000" w:rsidRDefault="00C40079">
      <w:pPr>
        <w:pStyle w:val="BodyTextIndent2"/>
        <w:tabs>
          <w:tab w:val="left" w:leader="dot" w:pos="9000"/>
        </w:tabs>
        <w:ind w:left="1620" w:right="720" w:hanging="1620"/>
        <w:jc w:val="left"/>
      </w:pPr>
      <w:r>
        <w:t>Table ES1</w:t>
      </w:r>
      <w:r>
        <w:tab/>
        <w:t>Updated Carbon Monoxide and 1-Hour Ozone Transportation Conformity Emission Budgets</w:t>
      </w:r>
      <w:r>
        <w:tab/>
      </w:r>
      <w:r>
        <w:fldChar w:fldCharType="begin"/>
      </w:r>
      <w:r>
        <w:instrText xml:space="preserve"> PAGEREF Table_ES1 \h </w:instrText>
      </w:r>
      <w:r>
        <w:fldChar w:fldCharType="separate"/>
      </w:r>
      <w:r>
        <w:rPr>
          <w:noProof/>
        </w:rPr>
        <w:t>ix</w:t>
      </w:r>
      <w:r>
        <w:fldChar w:fldCharType="end"/>
      </w:r>
    </w:p>
    <w:p w:rsidR="00000000" w:rsidRDefault="00C40079">
      <w:pPr>
        <w:pStyle w:val="BlockText"/>
        <w:ind w:left="1620" w:right="720" w:hanging="1620"/>
        <w:jc w:val="left"/>
      </w:pPr>
      <w:r>
        <w:t xml:space="preserve">Table ES2  </w:t>
      </w:r>
      <w:r>
        <w:tab/>
        <w:t>Comp</w:t>
      </w:r>
      <w:r>
        <w:t>arison of the Updated Carbon Monoxide and 1-Hour Ozone Transportation Conformity Emission Budgets with Prior Budgets</w:t>
      </w:r>
      <w:r>
        <w:tab/>
      </w:r>
      <w:bookmarkStart w:id="43" w:name="_Hlt126635573"/>
      <w:r>
        <w:fldChar w:fldCharType="begin"/>
      </w:r>
      <w:r>
        <w:instrText xml:space="preserve"> PAGEREF Table_ES2 \h </w:instrText>
      </w:r>
      <w:r>
        <w:fldChar w:fldCharType="separate"/>
      </w:r>
      <w:r>
        <w:rPr>
          <w:noProof/>
        </w:rPr>
        <w:t>ix</w:t>
      </w:r>
      <w:r>
        <w:fldChar w:fldCharType="end"/>
      </w:r>
      <w:bookmarkEnd w:id="43"/>
    </w:p>
    <w:p w:rsidR="00000000" w:rsidRDefault="00C40079">
      <w:pPr>
        <w:pStyle w:val="BlockText"/>
        <w:ind w:left="1620" w:right="720" w:hanging="1620"/>
        <w:jc w:val="left"/>
      </w:pPr>
      <w:r>
        <w:t>Table ES3</w:t>
      </w:r>
      <w:r>
        <w:tab/>
        <w:t>Emission Budgets for McGuire Air Force Base</w:t>
      </w:r>
      <w:r>
        <w:tab/>
      </w:r>
      <w:bookmarkStart w:id="44" w:name="_Hlt126635578"/>
      <w:r>
        <w:fldChar w:fldCharType="begin"/>
      </w:r>
      <w:r>
        <w:instrText xml:space="preserve"> PAGEREF Table_ES3 \h </w:instrText>
      </w:r>
      <w:r>
        <w:fldChar w:fldCharType="separate"/>
      </w:r>
      <w:r>
        <w:rPr>
          <w:noProof/>
        </w:rPr>
        <w:t>xi</w:t>
      </w:r>
      <w:r>
        <w:fldChar w:fldCharType="end"/>
      </w:r>
      <w:bookmarkEnd w:id="44"/>
    </w:p>
    <w:p w:rsidR="00000000" w:rsidRDefault="00C40079">
      <w:pPr>
        <w:tabs>
          <w:tab w:val="left" w:leader="dot" w:pos="9000"/>
        </w:tabs>
        <w:ind w:left="1620" w:right="720" w:hanging="1620"/>
        <w:rPr>
          <w:sz w:val="24"/>
        </w:rPr>
      </w:pPr>
      <w:r>
        <w:rPr>
          <w:sz w:val="24"/>
        </w:rPr>
        <w:t>Table ES4</w:t>
      </w:r>
      <w:r>
        <w:rPr>
          <w:sz w:val="24"/>
        </w:rPr>
        <w:tab/>
        <w:t>New PM</w:t>
      </w:r>
      <w:r>
        <w:rPr>
          <w:sz w:val="24"/>
          <w:vertAlign w:val="subscript"/>
        </w:rPr>
        <w:t>2.5</w:t>
      </w:r>
      <w:r>
        <w:rPr>
          <w:sz w:val="24"/>
        </w:rPr>
        <w:t xml:space="preserve"> Transpo</w:t>
      </w:r>
      <w:r>
        <w:rPr>
          <w:sz w:val="24"/>
        </w:rPr>
        <w:t>rtation Conformity Emission Budgets</w:t>
      </w:r>
      <w:r>
        <w:rPr>
          <w:sz w:val="24"/>
        </w:rPr>
        <w:tab/>
      </w:r>
      <w:bookmarkStart w:id="45" w:name="_Hlt126635639"/>
      <w:r>
        <w:rPr>
          <w:sz w:val="24"/>
        </w:rPr>
        <w:fldChar w:fldCharType="begin"/>
      </w:r>
      <w:r>
        <w:rPr>
          <w:sz w:val="24"/>
        </w:rPr>
        <w:instrText xml:space="preserve"> PAGEREF Table_ES4 \h </w:instrText>
      </w:r>
      <w:r>
        <w:rPr>
          <w:sz w:val="24"/>
        </w:rPr>
      </w:r>
      <w:r>
        <w:rPr>
          <w:sz w:val="24"/>
        </w:rPr>
        <w:fldChar w:fldCharType="separate"/>
      </w:r>
      <w:r>
        <w:rPr>
          <w:noProof/>
          <w:sz w:val="24"/>
        </w:rPr>
        <w:t>xii</w:t>
      </w:r>
      <w:r>
        <w:rPr>
          <w:sz w:val="24"/>
        </w:rPr>
        <w:fldChar w:fldCharType="end"/>
      </w:r>
      <w:bookmarkEnd w:id="45"/>
    </w:p>
    <w:p w:rsidR="00000000" w:rsidRDefault="00C40079">
      <w:pPr>
        <w:tabs>
          <w:tab w:val="left" w:leader="dot" w:pos="9000"/>
        </w:tabs>
        <w:ind w:left="1620" w:right="720" w:hanging="1620"/>
        <w:rPr>
          <w:sz w:val="24"/>
        </w:rPr>
      </w:pPr>
    </w:p>
    <w:p w:rsidR="00000000" w:rsidRDefault="00C40079">
      <w:pPr>
        <w:tabs>
          <w:tab w:val="left" w:leader="dot" w:pos="9000"/>
        </w:tabs>
        <w:ind w:left="1620" w:right="720" w:hanging="1620"/>
        <w:rPr>
          <w:sz w:val="24"/>
        </w:rPr>
      </w:pPr>
      <w:r>
        <w:rPr>
          <w:sz w:val="24"/>
        </w:rPr>
        <w:t xml:space="preserve">Table I </w:t>
      </w:r>
      <w:r>
        <w:rPr>
          <w:sz w:val="24"/>
        </w:rPr>
        <w:tab/>
        <w:t>Updated Transportation Conformity Emission Budgets</w:t>
      </w:r>
      <w:r>
        <w:rPr>
          <w:sz w:val="24"/>
        </w:rPr>
        <w:tab/>
        <w:t xml:space="preserve"> </w:t>
      </w:r>
      <w:bookmarkStart w:id="46" w:name="_Hlt126641844"/>
      <w:r>
        <w:rPr>
          <w:sz w:val="24"/>
        </w:rPr>
        <w:fldChar w:fldCharType="begin"/>
      </w:r>
      <w:r>
        <w:rPr>
          <w:sz w:val="24"/>
        </w:rPr>
        <w:instrText xml:space="preserve"> PAGEREF Table_I \h </w:instrText>
      </w:r>
      <w:r>
        <w:rPr>
          <w:sz w:val="24"/>
        </w:rPr>
      </w:r>
      <w:r>
        <w:rPr>
          <w:sz w:val="24"/>
        </w:rPr>
        <w:fldChar w:fldCharType="separate"/>
      </w:r>
      <w:r>
        <w:rPr>
          <w:noProof/>
          <w:sz w:val="24"/>
        </w:rPr>
        <w:t>5</w:t>
      </w:r>
      <w:r>
        <w:rPr>
          <w:sz w:val="24"/>
        </w:rPr>
        <w:fldChar w:fldCharType="end"/>
      </w:r>
      <w:bookmarkEnd w:id="46"/>
    </w:p>
    <w:p w:rsidR="00000000" w:rsidRDefault="00C40079">
      <w:pPr>
        <w:tabs>
          <w:tab w:val="left" w:leader="dot" w:pos="9000"/>
        </w:tabs>
        <w:ind w:left="1620" w:right="720" w:hanging="1620"/>
        <w:rPr>
          <w:sz w:val="24"/>
        </w:rPr>
      </w:pPr>
      <w:r>
        <w:rPr>
          <w:sz w:val="24"/>
        </w:rPr>
        <w:t xml:space="preserve">Table II </w:t>
      </w:r>
      <w:r>
        <w:rPr>
          <w:sz w:val="24"/>
        </w:rPr>
        <w:tab/>
        <w:t>Comparison of the Updated Transportation Conformity Emission Budgets with Prior Budgets</w:t>
      </w:r>
      <w:r>
        <w:rPr>
          <w:sz w:val="24"/>
        </w:rPr>
        <w:tab/>
        <w:t xml:space="preserve"> </w:t>
      </w:r>
      <w:bookmarkStart w:id="47" w:name="_Hlt126641852"/>
      <w:r>
        <w:rPr>
          <w:sz w:val="24"/>
        </w:rPr>
        <w:fldChar w:fldCharType="begin"/>
      </w:r>
      <w:r>
        <w:rPr>
          <w:sz w:val="24"/>
        </w:rPr>
        <w:instrText xml:space="preserve"> P</w:instrText>
      </w:r>
      <w:r>
        <w:rPr>
          <w:sz w:val="24"/>
        </w:rPr>
        <w:instrText xml:space="preserve">AGEREF Table_II \h </w:instrText>
      </w:r>
      <w:r>
        <w:rPr>
          <w:sz w:val="24"/>
        </w:rPr>
      </w:r>
      <w:r>
        <w:rPr>
          <w:sz w:val="24"/>
        </w:rPr>
        <w:fldChar w:fldCharType="separate"/>
      </w:r>
      <w:r>
        <w:rPr>
          <w:noProof/>
          <w:sz w:val="24"/>
        </w:rPr>
        <w:t>5</w:t>
      </w:r>
      <w:r>
        <w:rPr>
          <w:sz w:val="24"/>
        </w:rPr>
        <w:fldChar w:fldCharType="end"/>
      </w:r>
      <w:bookmarkEnd w:id="47"/>
    </w:p>
    <w:p w:rsidR="00000000" w:rsidRDefault="00C40079">
      <w:pPr>
        <w:tabs>
          <w:tab w:val="left" w:leader="dot" w:pos="9000"/>
        </w:tabs>
        <w:ind w:left="1620" w:right="720" w:hanging="1620"/>
        <w:rPr>
          <w:sz w:val="24"/>
        </w:rPr>
      </w:pPr>
      <w:r>
        <w:rPr>
          <w:sz w:val="24"/>
        </w:rPr>
        <w:t>Table III</w:t>
      </w:r>
      <w:r>
        <w:rPr>
          <w:sz w:val="24"/>
        </w:rPr>
        <w:tab/>
        <w:t>Maintenance Plan Inventories for the New Jersey Portion of the New York City/Northern New Jersey/Long Island Carbon Monoxide Nonattainment Area</w:t>
      </w:r>
      <w:r>
        <w:rPr>
          <w:sz w:val="24"/>
        </w:rPr>
        <w:tab/>
        <w:t xml:space="preserve"> </w:t>
      </w:r>
      <w:bookmarkStart w:id="48" w:name="_Hlt126635736"/>
      <w:r>
        <w:rPr>
          <w:sz w:val="24"/>
        </w:rPr>
        <w:fldChar w:fldCharType="begin"/>
      </w:r>
      <w:r>
        <w:rPr>
          <w:sz w:val="24"/>
        </w:rPr>
        <w:instrText xml:space="preserve"> PAGEREF Table_III \h </w:instrText>
      </w:r>
      <w:r>
        <w:rPr>
          <w:sz w:val="24"/>
        </w:rPr>
      </w:r>
      <w:r>
        <w:rPr>
          <w:sz w:val="24"/>
        </w:rPr>
        <w:fldChar w:fldCharType="separate"/>
      </w:r>
      <w:r>
        <w:rPr>
          <w:noProof/>
          <w:sz w:val="24"/>
        </w:rPr>
        <w:t>6</w:t>
      </w:r>
      <w:r>
        <w:rPr>
          <w:sz w:val="24"/>
        </w:rPr>
        <w:fldChar w:fldCharType="end"/>
      </w:r>
      <w:bookmarkEnd w:id="48"/>
    </w:p>
    <w:p w:rsidR="00000000" w:rsidRDefault="00C40079">
      <w:pPr>
        <w:tabs>
          <w:tab w:val="left" w:leader="dot" w:pos="9000"/>
        </w:tabs>
        <w:ind w:left="1620" w:right="720" w:hanging="1620"/>
        <w:rPr>
          <w:sz w:val="24"/>
        </w:rPr>
      </w:pPr>
      <w:r>
        <w:rPr>
          <w:sz w:val="24"/>
        </w:rPr>
        <w:t>Table IV</w:t>
      </w:r>
      <w:r>
        <w:rPr>
          <w:sz w:val="24"/>
        </w:rPr>
        <w:tab/>
        <w:t>2007 Margin of Safety Calculation</w:t>
      </w:r>
      <w:r>
        <w:rPr>
          <w:sz w:val="24"/>
        </w:rPr>
        <w:tab/>
        <w:t xml:space="preserve"> </w:t>
      </w:r>
      <w:bookmarkStart w:id="49" w:name="_Hlt126635902"/>
      <w:r>
        <w:rPr>
          <w:sz w:val="24"/>
        </w:rPr>
        <w:fldChar w:fldCharType="begin"/>
      </w:r>
      <w:r>
        <w:rPr>
          <w:sz w:val="24"/>
        </w:rPr>
        <w:instrText xml:space="preserve"> PAG</w:instrText>
      </w:r>
      <w:r>
        <w:rPr>
          <w:sz w:val="24"/>
        </w:rPr>
        <w:instrText xml:space="preserve">EREF Table_IV \h </w:instrText>
      </w:r>
      <w:r>
        <w:rPr>
          <w:sz w:val="24"/>
        </w:rPr>
      </w:r>
      <w:r>
        <w:rPr>
          <w:sz w:val="24"/>
        </w:rPr>
        <w:fldChar w:fldCharType="separate"/>
      </w:r>
      <w:r>
        <w:rPr>
          <w:noProof/>
          <w:sz w:val="24"/>
        </w:rPr>
        <w:t>7</w:t>
      </w:r>
      <w:r>
        <w:rPr>
          <w:sz w:val="24"/>
        </w:rPr>
        <w:fldChar w:fldCharType="end"/>
      </w:r>
      <w:bookmarkEnd w:id="49"/>
    </w:p>
    <w:p w:rsidR="00000000" w:rsidRDefault="00C40079">
      <w:pPr>
        <w:tabs>
          <w:tab w:val="left" w:leader="dot" w:pos="9000"/>
        </w:tabs>
        <w:ind w:left="1620" w:right="720" w:hanging="1620"/>
        <w:rPr>
          <w:sz w:val="24"/>
        </w:rPr>
      </w:pPr>
      <w:r>
        <w:rPr>
          <w:sz w:val="24"/>
        </w:rPr>
        <w:t>Table  V</w:t>
      </w:r>
      <w:r>
        <w:rPr>
          <w:sz w:val="24"/>
        </w:rPr>
        <w:tab/>
        <w:t>2014 Margin of Safety Calculation</w:t>
      </w:r>
      <w:r>
        <w:rPr>
          <w:sz w:val="24"/>
        </w:rPr>
        <w:tab/>
        <w:t xml:space="preserve"> </w:t>
      </w:r>
      <w:bookmarkStart w:id="50" w:name="_Hlt126636065"/>
      <w:r>
        <w:rPr>
          <w:sz w:val="24"/>
        </w:rPr>
        <w:fldChar w:fldCharType="begin"/>
      </w:r>
      <w:r>
        <w:rPr>
          <w:sz w:val="24"/>
        </w:rPr>
        <w:instrText xml:space="preserve"> PAGEREF Table_V \h </w:instrText>
      </w:r>
      <w:r>
        <w:rPr>
          <w:sz w:val="24"/>
        </w:rPr>
      </w:r>
      <w:r>
        <w:rPr>
          <w:sz w:val="24"/>
        </w:rPr>
        <w:fldChar w:fldCharType="separate"/>
      </w:r>
      <w:r>
        <w:rPr>
          <w:noProof/>
          <w:sz w:val="24"/>
        </w:rPr>
        <w:t>8</w:t>
      </w:r>
      <w:r>
        <w:rPr>
          <w:sz w:val="24"/>
        </w:rPr>
        <w:fldChar w:fldCharType="end"/>
      </w:r>
      <w:bookmarkEnd w:id="50"/>
    </w:p>
    <w:p w:rsidR="00000000" w:rsidRDefault="00C40079">
      <w:pPr>
        <w:tabs>
          <w:tab w:val="left" w:leader="dot" w:pos="9000"/>
        </w:tabs>
        <w:ind w:left="1620" w:right="720" w:hanging="1620"/>
        <w:rPr>
          <w:sz w:val="24"/>
        </w:rPr>
      </w:pPr>
      <w:r>
        <w:rPr>
          <w:sz w:val="24"/>
        </w:rPr>
        <w:t>Table VI</w:t>
      </w:r>
      <w:r>
        <w:rPr>
          <w:sz w:val="24"/>
        </w:rPr>
        <w:tab/>
        <w:t>Comparison of the Onroad Previous Inventories to the Updated Onroad Inventories (Tons per Ozone Day Unless Designated Otherwise)</w:t>
      </w:r>
      <w:r>
        <w:rPr>
          <w:sz w:val="24"/>
        </w:rPr>
        <w:tab/>
      </w:r>
      <w:bookmarkStart w:id="51" w:name="_Hlt126641878"/>
      <w:r>
        <w:rPr>
          <w:sz w:val="24"/>
        </w:rPr>
        <w:fldChar w:fldCharType="begin"/>
      </w:r>
      <w:r>
        <w:rPr>
          <w:sz w:val="24"/>
        </w:rPr>
        <w:instrText xml:space="preserve"> PAGEREF Table_VI \h </w:instrText>
      </w:r>
      <w:r>
        <w:rPr>
          <w:sz w:val="24"/>
        </w:rPr>
      </w:r>
      <w:r>
        <w:rPr>
          <w:sz w:val="24"/>
        </w:rPr>
        <w:fldChar w:fldCharType="separate"/>
      </w:r>
      <w:r>
        <w:rPr>
          <w:noProof/>
          <w:sz w:val="24"/>
        </w:rPr>
        <w:t>11</w:t>
      </w:r>
      <w:r>
        <w:rPr>
          <w:sz w:val="24"/>
        </w:rPr>
        <w:fldChar w:fldCharType="end"/>
      </w:r>
      <w:bookmarkEnd w:id="51"/>
    </w:p>
    <w:p w:rsidR="00000000" w:rsidRDefault="00C40079">
      <w:pPr>
        <w:tabs>
          <w:tab w:val="left" w:leader="dot" w:pos="9000"/>
        </w:tabs>
        <w:ind w:left="1620" w:right="720" w:hanging="1620"/>
        <w:rPr>
          <w:sz w:val="24"/>
        </w:rPr>
      </w:pPr>
      <w:r>
        <w:rPr>
          <w:sz w:val="24"/>
        </w:rPr>
        <w:t>Table VII</w:t>
      </w:r>
      <w:r>
        <w:rPr>
          <w:sz w:val="24"/>
        </w:rPr>
        <w:tab/>
        <w:t>Emission Budgets for McGuire Air Force Base</w:t>
      </w:r>
      <w:r>
        <w:rPr>
          <w:sz w:val="24"/>
        </w:rPr>
        <w:tab/>
      </w:r>
      <w:bookmarkStart w:id="52" w:name="_Hlt126641886"/>
      <w:r>
        <w:rPr>
          <w:sz w:val="24"/>
        </w:rPr>
        <w:fldChar w:fldCharType="begin"/>
      </w:r>
      <w:r>
        <w:rPr>
          <w:sz w:val="24"/>
        </w:rPr>
        <w:instrText xml:space="preserve"> PAGEREF Table_VII \h </w:instrText>
      </w:r>
      <w:r>
        <w:rPr>
          <w:sz w:val="24"/>
        </w:rPr>
      </w:r>
      <w:r>
        <w:rPr>
          <w:sz w:val="24"/>
        </w:rPr>
        <w:fldChar w:fldCharType="separate"/>
      </w:r>
      <w:r>
        <w:rPr>
          <w:noProof/>
          <w:sz w:val="24"/>
        </w:rPr>
        <w:t>15</w:t>
      </w:r>
      <w:r>
        <w:rPr>
          <w:sz w:val="24"/>
        </w:rPr>
        <w:fldChar w:fldCharType="end"/>
      </w:r>
      <w:bookmarkEnd w:id="52"/>
    </w:p>
    <w:p w:rsidR="00000000" w:rsidRDefault="00C40079">
      <w:pPr>
        <w:tabs>
          <w:tab w:val="left" w:leader="dot" w:pos="9000"/>
        </w:tabs>
        <w:ind w:left="1620" w:right="720" w:hanging="1620"/>
        <w:rPr>
          <w:sz w:val="24"/>
        </w:rPr>
      </w:pPr>
      <w:r>
        <w:rPr>
          <w:sz w:val="24"/>
        </w:rPr>
        <w:t>Table VIIII</w:t>
      </w:r>
      <w:r>
        <w:rPr>
          <w:sz w:val="24"/>
        </w:rPr>
        <w:tab/>
        <w:t>Direct PM</w:t>
      </w:r>
      <w:r>
        <w:rPr>
          <w:sz w:val="24"/>
          <w:vertAlign w:val="subscript"/>
        </w:rPr>
        <w:t>2.5</w:t>
      </w:r>
      <w:r>
        <w:rPr>
          <w:sz w:val="24"/>
        </w:rPr>
        <w:t xml:space="preserve"> Emission Inventories for 2002 and 2009 for the New Jersey Portion of the New York /New Jersey/Long Island/Connecticut PM</w:t>
      </w:r>
      <w:r>
        <w:rPr>
          <w:sz w:val="24"/>
          <w:vertAlign w:val="subscript"/>
        </w:rPr>
        <w:t>2.5</w:t>
      </w:r>
      <w:r>
        <w:rPr>
          <w:sz w:val="24"/>
        </w:rPr>
        <w:t xml:space="preserve"> Nonattainment Area</w:t>
      </w:r>
      <w:r>
        <w:rPr>
          <w:sz w:val="24"/>
        </w:rPr>
        <w:tab/>
      </w:r>
      <w:bookmarkStart w:id="53" w:name="_Hlt126641893"/>
      <w:r>
        <w:rPr>
          <w:sz w:val="24"/>
        </w:rPr>
        <w:fldChar w:fldCharType="begin"/>
      </w:r>
      <w:r>
        <w:rPr>
          <w:sz w:val="24"/>
        </w:rPr>
        <w:instrText xml:space="preserve"> P</w:instrText>
      </w:r>
      <w:r>
        <w:rPr>
          <w:sz w:val="24"/>
        </w:rPr>
        <w:instrText xml:space="preserve">AGEREF Table_VIII \h </w:instrText>
      </w:r>
      <w:r>
        <w:rPr>
          <w:sz w:val="24"/>
        </w:rPr>
      </w:r>
      <w:r>
        <w:rPr>
          <w:sz w:val="24"/>
        </w:rPr>
        <w:fldChar w:fldCharType="separate"/>
      </w:r>
      <w:r>
        <w:rPr>
          <w:noProof/>
          <w:sz w:val="24"/>
        </w:rPr>
        <w:t>21</w:t>
      </w:r>
      <w:r>
        <w:rPr>
          <w:sz w:val="24"/>
        </w:rPr>
        <w:fldChar w:fldCharType="end"/>
      </w:r>
      <w:bookmarkEnd w:id="53"/>
    </w:p>
    <w:p w:rsidR="00000000" w:rsidRDefault="00C40079">
      <w:pPr>
        <w:tabs>
          <w:tab w:val="left" w:leader="dot" w:pos="9000"/>
        </w:tabs>
        <w:ind w:left="1620" w:right="720" w:hanging="1620"/>
        <w:rPr>
          <w:sz w:val="24"/>
        </w:rPr>
      </w:pPr>
      <w:r>
        <w:rPr>
          <w:sz w:val="24"/>
        </w:rPr>
        <w:t>Table IX</w:t>
      </w:r>
      <w:r>
        <w:rPr>
          <w:sz w:val="24"/>
        </w:rPr>
        <w:tab/>
        <w:t>Direct PM</w:t>
      </w:r>
      <w:r>
        <w:rPr>
          <w:sz w:val="24"/>
          <w:vertAlign w:val="subscript"/>
        </w:rPr>
        <w:t>2.5</w:t>
      </w:r>
      <w:r>
        <w:rPr>
          <w:sz w:val="24"/>
        </w:rPr>
        <w:t>: Calculation of the Percent Reduction in Projected 2009 Emissions From the 2002 Emissions by County</w:t>
      </w:r>
      <w:r>
        <w:rPr>
          <w:sz w:val="24"/>
        </w:rPr>
        <w:tab/>
      </w:r>
      <w:bookmarkStart w:id="54" w:name="_Hlt126636184"/>
      <w:r>
        <w:rPr>
          <w:sz w:val="24"/>
        </w:rPr>
        <w:fldChar w:fldCharType="begin"/>
      </w:r>
      <w:r>
        <w:rPr>
          <w:sz w:val="24"/>
        </w:rPr>
        <w:instrText xml:space="preserve"> PAGEREF Table_IX \h </w:instrText>
      </w:r>
      <w:r>
        <w:rPr>
          <w:sz w:val="24"/>
        </w:rPr>
      </w:r>
      <w:r>
        <w:rPr>
          <w:sz w:val="24"/>
        </w:rPr>
        <w:fldChar w:fldCharType="separate"/>
      </w:r>
      <w:r>
        <w:rPr>
          <w:noProof/>
          <w:sz w:val="24"/>
        </w:rPr>
        <w:t>22</w:t>
      </w:r>
      <w:r>
        <w:rPr>
          <w:sz w:val="24"/>
        </w:rPr>
        <w:fldChar w:fldCharType="end"/>
      </w:r>
      <w:bookmarkEnd w:id="54"/>
    </w:p>
    <w:p w:rsidR="00000000" w:rsidRDefault="00C40079">
      <w:pPr>
        <w:tabs>
          <w:tab w:val="left" w:leader="dot" w:pos="9000"/>
        </w:tabs>
        <w:ind w:left="1620" w:right="720" w:hanging="1620"/>
        <w:rPr>
          <w:sz w:val="24"/>
        </w:rPr>
      </w:pPr>
      <w:r>
        <w:rPr>
          <w:sz w:val="24"/>
        </w:rPr>
        <w:t>Table X</w:t>
      </w:r>
      <w:r>
        <w:rPr>
          <w:sz w:val="24"/>
        </w:rPr>
        <w:tab/>
        <w:t>Annual NO</w:t>
      </w:r>
      <w:r>
        <w:rPr>
          <w:sz w:val="24"/>
          <w:vertAlign w:val="subscript"/>
        </w:rPr>
        <w:t>x</w:t>
      </w:r>
      <w:r>
        <w:rPr>
          <w:sz w:val="24"/>
        </w:rPr>
        <w:t xml:space="preserve"> Emission Inventories for 2002 and 2009 for the New Jersey Po</w:t>
      </w:r>
      <w:r>
        <w:rPr>
          <w:sz w:val="24"/>
        </w:rPr>
        <w:t>rtion of the New York /New Jersey/Long Island/Connecticut PM</w:t>
      </w:r>
      <w:r>
        <w:rPr>
          <w:sz w:val="24"/>
          <w:vertAlign w:val="subscript"/>
        </w:rPr>
        <w:t>2.5</w:t>
      </w:r>
      <w:r>
        <w:rPr>
          <w:sz w:val="24"/>
        </w:rPr>
        <w:t xml:space="preserve"> Nonattainment Area</w:t>
      </w:r>
      <w:r>
        <w:rPr>
          <w:sz w:val="24"/>
        </w:rPr>
        <w:tab/>
      </w:r>
      <w:r>
        <w:rPr>
          <w:sz w:val="24"/>
        </w:rPr>
        <w:fldChar w:fldCharType="begin"/>
      </w:r>
      <w:r>
        <w:rPr>
          <w:sz w:val="24"/>
        </w:rPr>
        <w:instrText xml:space="preserve"> PAGEREF Table_X \h </w:instrText>
      </w:r>
      <w:r>
        <w:rPr>
          <w:sz w:val="24"/>
        </w:rPr>
      </w:r>
      <w:r>
        <w:rPr>
          <w:sz w:val="24"/>
        </w:rPr>
        <w:fldChar w:fldCharType="separate"/>
      </w:r>
      <w:r>
        <w:rPr>
          <w:noProof/>
          <w:sz w:val="24"/>
        </w:rPr>
        <w:t>23</w:t>
      </w:r>
      <w:r>
        <w:rPr>
          <w:sz w:val="24"/>
        </w:rPr>
        <w:fldChar w:fldCharType="end"/>
      </w:r>
    </w:p>
    <w:p w:rsidR="00000000" w:rsidRDefault="00C40079">
      <w:pPr>
        <w:tabs>
          <w:tab w:val="left" w:leader="dot" w:pos="9000"/>
        </w:tabs>
        <w:ind w:left="1620" w:right="720" w:hanging="1620"/>
        <w:rPr>
          <w:sz w:val="24"/>
        </w:rPr>
      </w:pPr>
      <w:r>
        <w:rPr>
          <w:sz w:val="24"/>
        </w:rPr>
        <w:t>Table XI</w:t>
      </w:r>
      <w:r>
        <w:rPr>
          <w:sz w:val="24"/>
        </w:rPr>
        <w:tab/>
        <w:t>Annual NO</w:t>
      </w:r>
      <w:r>
        <w:rPr>
          <w:sz w:val="24"/>
          <w:vertAlign w:val="subscript"/>
        </w:rPr>
        <w:t>x</w:t>
      </w:r>
      <w:r>
        <w:rPr>
          <w:sz w:val="24"/>
        </w:rPr>
        <w:t>: Calculation of the Percent Reduction in Projected 2009 Emissions from the 2002 Emissions by County</w:t>
      </w:r>
      <w:r>
        <w:rPr>
          <w:sz w:val="24"/>
        </w:rPr>
        <w:tab/>
      </w:r>
      <w:bookmarkStart w:id="55" w:name="_Hlt126641915"/>
      <w:r>
        <w:rPr>
          <w:sz w:val="24"/>
        </w:rPr>
        <w:fldChar w:fldCharType="begin"/>
      </w:r>
      <w:r>
        <w:rPr>
          <w:sz w:val="24"/>
        </w:rPr>
        <w:instrText xml:space="preserve"> PAGEREF Table_XI \h </w:instrText>
      </w:r>
      <w:r>
        <w:rPr>
          <w:sz w:val="24"/>
        </w:rPr>
      </w:r>
      <w:r>
        <w:rPr>
          <w:sz w:val="24"/>
        </w:rPr>
        <w:fldChar w:fldCharType="separate"/>
      </w:r>
      <w:r>
        <w:rPr>
          <w:noProof/>
          <w:sz w:val="24"/>
        </w:rPr>
        <w:t>24</w:t>
      </w:r>
      <w:r>
        <w:rPr>
          <w:sz w:val="24"/>
        </w:rPr>
        <w:fldChar w:fldCharType="end"/>
      </w:r>
      <w:bookmarkEnd w:id="55"/>
    </w:p>
    <w:p w:rsidR="00000000" w:rsidRDefault="00C40079">
      <w:pPr>
        <w:tabs>
          <w:tab w:val="left" w:leader="dot" w:pos="9000"/>
        </w:tabs>
        <w:ind w:left="1620" w:right="720" w:hanging="1620"/>
        <w:rPr>
          <w:sz w:val="24"/>
        </w:rPr>
      </w:pPr>
      <w:r>
        <w:rPr>
          <w:sz w:val="24"/>
        </w:rPr>
        <w:t>Table XII</w:t>
      </w:r>
      <w:r>
        <w:rPr>
          <w:sz w:val="24"/>
        </w:rPr>
        <w:tab/>
        <w:t>Transportation Conformity Emission Budgets</w:t>
      </w:r>
      <w:r>
        <w:rPr>
          <w:sz w:val="24"/>
        </w:rPr>
        <w:tab/>
      </w:r>
      <w:r>
        <w:rPr>
          <w:sz w:val="24"/>
        </w:rPr>
        <w:fldChar w:fldCharType="begin"/>
      </w:r>
      <w:r>
        <w:rPr>
          <w:sz w:val="24"/>
        </w:rPr>
        <w:instrText xml:space="preserve"> PAGEREF Table_XII \h </w:instrText>
      </w:r>
      <w:r>
        <w:rPr>
          <w:sz w:val="24"/>
        </w:rPr>
      </w:r>
      <w:r>
        <w:rPr>
          <w:sz w:val="24"/>
        </w:rPr>
        <w:fldChar w:fldCharType="separate"/>
      </w:r>
      <w:r>
        <w:rPr>
          <w:noProof/>
          <w:sz w:val="24"/>
        </w:rPr>
        <w:t>25</w:t>
      </w:r>
      <w:r>
        <w:rPr>
          <w:sz w:val="24"/>
        </w:rPr>
        <w:fldChar w:fldCharType="end"/>
      </w:r>
    </w:p>
    <w:p w:rsidR="00000000" w:rsidRDefault="00C40079">
      <w:pPr>
        <w:tabs>
          <w:tab w:val="left" w:leader="dot" w:pos="9000"/>
        </w:tabs>
        <w:ind w:left="1620" w:right="720" w:hanging="1620"/>
        <w:rPr>
          <w:sz w:val="24"/>
        </w:rPr>
      </w:pPr>
      <w:r>
        <w:rPr>
          <w:sz w:val="24"/>
        </w:rPr>
        <w:t>Table XIII</w:t>
      </w:r>
      <w:r>
        <w:rPr>
          <w:sz w:val="24"/>
        </w:rPr>
        <w:tab/>
        <w:t>Design Values for Carbon Monoxide in New Jersey (8-hour standard)</w:t>
      </w:r>
      <w:r>
        <w:rPr>
          <w:sz w:val="24"/>
        </w:rPr>
        <w:tab/>
      </w:r>
      <w:bookmarkStart w:id="56" w:name="_Hlt126641926"/>
      <w:r>
        <w:rPr>
          <w:sz w:val="24"/>
        </w:rPr>
        <w:fldChar w:fldCharType="begin"/>
      </w:r>
      <w:r>
        <w:rPr>
          <w:sz w:val="24"/>
        </w:rPr>
        <w:instrText xml:space="preserve"> PAGEREF Table_XIII \h </w:instrText>
      </w:r>
      <w:r>
        <w:rPr>
          <w:sz w:val="24"/>
        </w:rPr>
      </w:r>
      <w:r>
        <w:rPr>
          <w:sz w:val="24"/>
        </w:rPr>
        <w:fldChar w:fldCharType="separate"/>
      </w:r>
      <w:r>
        <w:rPr>
          <w:noProof/>
          <w:sz w:val="24"/>
        </w:rPr>
        <w:t>30</w:t>
      </w:r>
      <w:r>
        <w:rPr>
          <w:sz w:val="24"/>
        </w:rPr>
        <w:fldChar w:fldCharType="end"/>
      </w:r>
      <w:bookmarkEnd w:id="56"/>
    </w:p>
    <w:p w:rsidR="00000000" w:rsidRDefault="00C40079">
      <w:pPr>
        <w:tabs>
          <w:tab w:val="left" w:leader="dot" w:pos="9000"/>
        </w:tabs>
        <w:ind w:left="1620" w:right="720" w:hanging="1620"/>
        <w:rPr>
          <w:sz w:val="24"/>
        </w:rPr>
      </w:pPr>
      <w:r>
        <w:rPr>
          <w:sz w:val="24"/>
        </w:rPr>
        <w:t>Table XIV</w:t>
      </w:r>
      <w:r>
        <w:rPr>
          <w:sz w:val="24"/>
        </w:rPr>
        <w:tab/>
        <w:t>New Jersey Carbon Monoxide Maintenance Plan and Conting</w:t>
      </w:r>
      <w:r>
        <w:rPr>
          <w:sz w:val="24"/>
        </w:rPr>
        <w:t>ency Measure History</w:t>
      </w:r>
      <w:r>
        <w:rPr>
          <w:sz w:val="24"/>
        </w:rPr>
        <w:tab/>
      </w:r>
      <w:bookmarkStart w:id="57" w:name="_Hlt126641931"/>
      <w:r>
        <w:rPr>
          <w:sz w:val="24"/>
        </w:rPr>
        <w:fldChar w:fldCharType="begin"/>
      </w:r>
      <w:r>
        <w:rPr>
          <w:sz w:val="24"/>
        </w:rPr>
        <w:instrText xml:space="preserve"> PAGEREF Table_XIV \h </w:instrText>
      </w:r>
      <w:r>
        <w:rPr>
          <w:sz w:val="24"/>
        </w:rPr>
      </w:r>
      <w:r>
        <w:rPr>
          <w:sz w:val="24"/>
        </w:rPr>
        <w:fldChar w:fldCharType="separate"/>
      </w:r>
      <w:r>
        <w:rPr>
          <w:noProof/>
          <w:sz w:val="24"/>
        </w:rPr>
        <w:t>32</w:t>
      </w:r>
      <w:r>
        <w:rPr>
          <w:sz w:val="24"/>
        </w:rPr>
        <w:fldChar w:fldCharType="end"/>
      </w:r>
      <w:bookmarkEnd w:id="57"/>
    </w:p>
    <w:p w:rsidR="00000000" w:rsidRDefault="00C40079">
      <w:pPr>
        <w:tabs>
          <w:tab w:val="left" w:leader="dot" w:pos="9000"/>
        </w:tabs>
        <w:ind w:left="1620" w:right="720" w:hanging="1620"/>
        <w:rPr>
          <w:sz w:val="24"/>
        </w:rPr>
      </w:pPr>
      <w:r>
        <w:rPr>
          <w:sz w:val="24"/>
        </w:rPr>
        <w:t>Table XV</w:t>
      </w:r>
      <w:r>
        <w:rPr>
          <w:sz w:val="24"/>
        </w:rPr>
        <w:tab/>
        <w:t>New Jersey Wintertime Carbon Monoxide Emissions (tons per winter day) for 2002</w:t>
      </w:r>
      <w:r>
        <w:rPr>
          <w:sz w:val="24"/>
        </w:rPr>
        <w:tab/>
      </w:r>
      <w:r>
        <w:rPr>
          <w:sz w:val="24"/>
        </w:rPr>
        <w:fldChar w:fldCharType="begin"/>
      </w:r>
      <w:r>
        <w:rPr>
          <w:sz w:val="24"/>
        </w:rPr>
        <w:instrText xml:space="preserve"> PAGEREF Table_XV \h </w:instrText>
      </w:r>
      <w:r>
        <w:rPr>
          <w:sz w:val="24"/>
        </w:rPr>
      </w:r>
      <w:r>
        <w:rPr>
          <w:sz w:val="24"/>
        </w:rPr>
        <w:fldChar w:fldCharType="separate"/>
      </w:r>
      <w:r>
        <w:rPr>
          <w:noProof/>
          <w:sz w:val="24"/>
        </w:rPr>
        <w:t>33</w:t>
      </w:r>
      <w:r>
        <w:rPr>
          <w:sz w:val="24"/>
        </w:rPr>
        <w:fldChar w:fldCharType="end"/>
      </w:r>
    </w:p>
    <w:p w:rsidR="00000000" w:rsidRDefault="00C40079">
      <w:pPr>
        <w:tabs>
          <w:tab w:val="left" w:leader="dot" w:pos="9000"/>
        </w:tabs>
        <w:ind w:left="1620" w:right="720" w:hanging="1620"/>
        <w:rPr>
          <w:sz w:val="24"/>
        </w:rPr>
      </w:pPr>
      <w:r>
        <w:rPr>
          <w:sz w:val="24"/>
        </w:rPr>
        <w:t>Table XVI</w:t>
      </w:r>
      <w:r>
        <w:rPr>
          <w:sz w:val="24"/>
        </w:rPr>
        <w:tab/>
        <w:t>2002 Inventories Prepared</w:t>
      </w:r>
      <w:r>
        <w:rPr>
          <w:sz w:val="24"/>
        </w:rPr>
        <w:tab/>
      </w:r>
      <w:r>
        <w:rPr>
          <w:sz w:val="24"/>
        </w:rPr>
        <w:fldChar w:fldCharType="begin"/>
      </w:r>
      <w:r>
        <w:rPr>
          <w:sz w:val="24"/>
        </w:rPr>
        <w:instrText xml:space="preserve"> PAGEREF Table_XVI \h </w:instrText>
      </w:r>
      <w:r>
        <w:rPr>
          <w:sz w:val="24"/>
        </w:rPr>
      </w:r>
      <w:r>
        <w:rPr>
          <w:sz w:val="24"/>
        </w:rPr>
        <w:fldChar w:fldCharType="separate"/>
      </w:r>
      <w:r>
        <w:rPr>
          <w:noProof/>
          <w:sz w:val="24"/>
        </w:rPr>
        <w:t>41</w:t>
      </w:r>
      <w:r>
        <w:rPr>
          <w:sz w:val="24"/>
        </w:rPr>
        <w:fldChar w:fldCharType="end"/>
      </w:r>
    </w:p>
    <w:p w:rsidR="00000000" w:rsidRDefault="00C40079">
      <w:pPr>
        <w:pStyle w:val="Heading9"/>
        <w:ind w:left="1620" w:right="720" w:hanging="1620"/>
      </w:pPr>
      <w:r>
        <w:t>Table XVII</w:t>
      </w:r>
      <w:r>
        <w:tab/>
        <w:t>2002 Statewide</w:t>
      </w:r>
      <w:r>
        <w:t xml:space="preserve"> Emission Inventory by Source Sector and Pollutant</w:t>
      </w:r>
      <w:r>
        <w:tab/>
      </w:r>
      <w:r>
        <w:fldChar w:fldCharType="begin"/>
      </w:r>
      <w:r>
        <w:instrText xml:space="preserve"> PAGEREF Table_XVII \h </w:instrText>
      </w:r>
      <w:r>
        <w:fldChar w:fldCharType="separate"/>
      </w:r>
      <w:r>
        <w:rPr>
          <w:noProof/>
        </w:rPr>
        <w:t>42</w:t>
      </w:r>
      <w:r>
        <w:fldChar w:fldCharType="end"/>
      </w:r>
    </w:p>
    <w:p w:rsidR="00000000" w:rsidRDefault="00C40079">
      <w:pPr>
        <w:tabs>
          <w:tab w:val="left" w:leader="dot" w:pos="9000"/>
        </w:tabs>
        <w:ind w:left="1620" w:right="720" w:hanging="1620"/>
        <w:rPr>
          <w:sz w:val="24"/>
        </w:rPr>
      </w:pPr>
      <w:r>
        <w:rPr>
          <w:sz w:val="24"/>
        </w:rPr>
        <w:t>Table XVIII</w:t>
      </w:r>
      <w:r>
        <w:rPr>
          <w:sz w:val="24"/>
        </w:rPr>
        <w:tab/>
        <w:t>2002 Statewide Emission Inventory by County and Pollutant</w:t>
      </w:r>
      <w:r>
        <w:rPr>
          <w:sz w:val="24"/>
        </w:rPr>
        <w:tab/>
      </w:r>
      <w:r>
        <w:rPr>
          <w:sz w:val="24"/>
        </w:rPr>
        <w:fldChar w:fldCharType="begin"/>
      </w:r>
      <w:r>
        <w:rPr>
          <w:sz w:val="24"/>
        </w:rPr>
        <w:instrText xml:space="preserve"> PAGEREF Table_XVIII \h </w:instrText>
      </w:r>
      <w:r>
        <w:rPr>
          <w:sz w:val="24"/>
        </w:rPr>
      </w:r>
      <w:r>
        <w:rPr>
          <w:sz w:val="24"/>
        </w:rPr>
        <w:fldChar w:fldCharType="separate"/>
      </w:r>
      <w:r>
        <w:rPr>
          <w:noProof/>
          <w:sz w:val="24"/>
        </w:rPr>
        <w:t>43</w:t>
      </w:r>
      <w:r>
        <w:rPr>
          <w:sz w:val="24"/>
        </w:rPr>
        <w:fldChar w:fldCharType="end"/>
      </w:r>
    </w:p>
    <w:p w:rsidR="00000000" w:rsidRDefault="00C40079">
      <w:pPr>
        <w:tabs>
          <w:tab w:val="left" w:leader="dot" w:pos="9000"/>
        </w:tabs>
        <w:ind w:left="1620" w:right="720" w:hanging="1620"/>
        <w:rPr>
          <w:sz w:val="24"/>
        </w:rPr>
      </w:pPr>
      <w:r>
        <w:rPr>
          <w:sz w:val="24"/>
        </w:rPr>
        <w:t>Table XIX</w:t>
      </w:r>
      <w:r>
        <w:rPr>
          <w:sz w:val="24"/>
        </w:rPr>
        <w:tab/>
        <w:t>2002 Statewide Emission Inventory by County and Source Sector</w:t>
      </w:r>
      <w:r>
        <w:rPr>
          <w:sz w:val="24"/>
        </w:rPr>
        <w:tab/>
      </w:r>
      <w:r>
        <w:rPr>
          <w:sz w:val="24"/>
        </w:rPr>
        <w:fldChar w:fldCharType="begin"/>
      </w:r>
      <w:r>
        <w:rPr>
          <w:sz w:val="24"/>
        </w:rPr>
        <w:instrText xml:space="preserve"> </w:instrText>
      </w:r>
      <w:r>
        <w:rPr>
          <w:sz w:val="24"/>
        </w:rPr>
        <w:instrText xml:space="preserve">PAGEREF Table_XIX \h </w:instrText>
      </w:r>
      <w:r>
        <w:rPr>
          <w:sz w:val="24"/>
        </w:rPr>
      </w:r>
      <w:r>
        <w:rPr>
          <w:sz w:val="24"/>
        </w:rPr>
        <w:fldChar w:fldCharType="separate"/>
      </w:r>
      <w:r>
        <w:rPr>
          <w:noProof/>
          <w:sz w:val="24"/>
        </w:rPr>
        <w:t>45</w:t>
      </w:r>
      <w:r>
        <w:rPr>
          <w:sz w:val="24"/>
        </w:rPr>
        <w:fldChar w:fldCharType="end"/>
      </w:r>
    </w:p>
    <w:p w:rsidR="00000000" w:rsidRDefault="00C40079">
      <w:pPr>
        <w:tabs>
          <w:tab w:val="left" w:leader="dot" w:pos="9000"/>
        </w:tabs>
        <w:ind w:left="1620" w:right="720" w:hanging="1620"/>
        <w:rPr>
          <w:sz w:val="24"/>
        </w:rPr>
      </w:pPr>
      <w:r>
        <w:rPr>
          <w:sz w:val="24"/>
        </w:rPr>
        <w:t>Table XX</w:t>
      </w:r>
      <w:r>
        <w:rPr>
          <w:sz w:val="24"/>
        </w:rPr>
        <w:tab/>
        <w:t>1996 and 2002 Statewide Emission Inventory by Source Sector and Pollutant</w:t>
      </w:r>
      <w:r>
        <w:rPr>
          <w:sz w:val="24"/>
        </w:rPr>
        <w:tab/>
        <w:t>50</w:t>
      </w:r>
    </w:p>
    <w:p w:rsidR="00000000" w:rsidRDefault="00C40079">
      <w:pPr>
        <w:tabs>
          <w:tab w:val="left" w:leader="dot" w:pos="9000"/>
        </w:tabs>
        <w:ind w:left="720" w:right="360" w:hanging="720"/>
        <w:jc w:val="both"/>
        <w:rPr>
          <w:sz w:val="24"/>
        </w:rPr>
      </w:pPr>
    </w:p>
    <w:p w:rsidR="00000000" w:rsidRDefault="00C40079">
      <w:pPr>
        <w:jc w:val="center"/>
        <w:rPr>
          <w:sz w:val="24"/>
        </w:rPr>
      </w:pPr>
      <w:r>
        <w:rPr>
          <w:sz w:val="24"/>
        </w:rPr>
        <w:br w:type="page"/>
      </w:r>
    </w:p>
    <w:p w:rsidR="00000000" w:rsidRDefault="00C40079">
      <w:pPr>
        <w:jc w:val="center"/>
        <w:rPr>
          <w:sz w:val="24"/>
        </w:rPr>
      </w:pPr>
    </w:p>
    <w:p w:rsidR="00000000" w:rsidRDefault="00C40079">
      <w:pPr>
        <w:pStyle w:val="Heading3"/>
      </w:pPr>
      <w:bookmarkStart w:id="58" w:name="List_of_Figures"/>
      <w:bookmarkStart w:id="59" w:name="_Hlt126633490"/>
      <w:bookmarkEnd w:id="59"/>
      <w:r>
        <w:t>List of Figures</w:t>
      </w:r>
      <w:bookmarkEnd w:id="58"/>
    </w:p>
    <w:p w:rsidR="00000000" w:rsidRDefault="00C40079">
      <w:pPr>
        <w:rPr>
          <w:sz w:val="24"/>
        </w:rPr>
      </w:pPr>
    </w:p>
    <w:p w:rsidR="00000000" w:rsidRDefault="00C40079">
      <w:pPr>
        <w:pStyle w:val="Level2"/>
        <w:widowControl/>
      </w:pPr>
    </w:p>
    <w:p w:rsidR="00000000" w:rsidRDefault="00C40079">
      <w:pPr>
        <w:tabs>
          <w:tab w:val="left" w:leader="dot" w:pos="9000"/>
        </w:tabs>
        <w:ind w:left="1440" w:right="360" w:hanging="1440"/>
        <w:rPr>
          <w:sz w:val="24"/>
        </w:rPr>
      </w:pPr>
      <w:r>
        <w:rPr>
          <w:sz w:val="24"/>
        </w:rPr>
        <w:t>Figure I</w:t>
      </w:r>
      <w:r>
        <w:rPr>
          <w:sz w:val="24"/>
        </w:rPr>
        <w:tab/>
        <w:t>Metropolitan Planning Organizations in New Jersey</w:t>
      </w:r>
      <w:r>
        <w:rPr>
          <w:sz w:val="24"/>
        </w:rPr>
        <w:tab/>
      </w:r>
      <w:bookmarkStart w:id="60" w:name="_Hlt126642144"/>
      <w:r>
        <w:rPr>
          <w:sz w:val="24"/>
        </w:rPr>
        <w:fldChar w:fldCharType="begin"/>
      </w:r>
      <w:r>
        <w:rPr>
          <w:sz w:val="24"/>
        </w:rPr>
        <w:instrText xml:space="preserve"> PAGEREF Figure_I \h </w:instrText>
      </w:r>
      <w:r>
        <w:rPr>
          <w:sz w:val="24"/>
        </w:rPr>
      </w:r>
      <w:r>
        <w:rPr>
          <w:sz w:val="24"/>
        </w:rPr>
        <w:fldChar w:fldCharType="separate"/>
      </w:r>
      <w:r>
        <w:rPr>
          <w:noProof/>
          <w:sz w:val="24"/>
        </w:rPr>
        <w:t>4</w:t>
      </w:r>
      <w:r>
        <w:rPr>
          <w:sz w:val="24"/>
        </w:rPr>
        <w:fldChar w:fldCharType="end"/>
      </w:r>
      <w:bookmarkEnd w:id="60"/>
    </w:p>
    <w:p w:rsidR="00000000" w:rsidRDefault="00C40079">
      <w:pPr>
        <w:tabs>
          <w:tab w:val="left" w:leader="dot" w:pos="9000"/>
        </w:tabs>
        <w:ind w:left="1440" w:right="360" w:hanging="1440"/>
        <w:rPr>
          <w:sz w:val="24"/>
        </w:rPr>
      </w:pPr>
      <w:r>
        <w:rPr>
          <w:sz w:val="24"/>
        </w:rPr>
        <w:t>Figure II</w:t>
      </w:r>
      <w:r>
        <w:rPr>
          <w:sz w:val="24"/>
        </w:rPr>
        <w:tab/>
        <w:t>Carbon Monoxide Air Quali</w:t>
      </w:r>
      <w:r>
        <w:rPr>
          <w:sz w:val="24"/>
        </w:rPr>
        <w:t>ty, 1975-2004, 2nd Highest 8-Hour Average</w:t>
      </w:r>
      <w:r>
        <w:rPr>
          <w:sz w:val="24"/>
        </w:rPr>
        <w:tab/>
      </w:r>
      <w:bookmarkStart w:id="61" w:name="_Hlt126636330"/>
      <w:r>
        <w:rPr>
          <w:sz w:val="24"/>
        </w:rPr>
        <w:fldChar w:fldCharType="begin"/>
      </w:r>
      <w:r>
        <w:rPr>
          <w:sz w:val="24"/>
        </w:rPr>
        <w:instrText xml:space="preserve"> PAGEREF Figure_II \h </w:instrText>
      </w:r>
      <w:r>
        <w:rPr>
          <w:sz w:val="24"/>
        </w:rPr>
      </w:r>
      <w:r>
        <w:rPr>
          <w:sz w:val="24"/>
        </w:rPr>
        <w:fldChar w:fldCharType="separate"/>
      </w:r>
      <w:r>
        <w:rPr>
          <w:noProof/>
          <w:sz w:val="24"/>
        </w:rPr>
        <w:t>7</w:t>
      </w:r>
      <w:r>
        <w:rPr>
          <w:sz w:val="24"/>
        </w:rPr>
        <w:fldChar w:fldCharType="end"/>
      </w:r>
      <w:bookmarkEnd w:id="61"/>
    </w:p>
    <w:p w:rsidR="00000000" w:rsidRDefault="00C40079">
      <w:pPr>
        <w:tabs>
          <w:tab w:val="left" w:leader="dot" w:pos="9000"/>
        </w:tabs>
        <w:ind w:left="1440" w:right="360" w:hanging="1440"/>
        <w:rPr>
          <w:sz w:val="24"/>
        </w:rPr>
      </w:pPr>
      <w:r>
        <w:rPr>
          <w:sz w:val="24"/>
        </w:rPr>
        <w:t>Figure III</w:t>
      </w:r>
      <w:r>
        <w:rPr>
          <w:sz w:val="24"/>
        </w:rPr>
        <w:tab/>
        <w:t>USEPA Designations of Nonattainment Areas for PM</w:t>
      </w:r>
      <w:r>
        <w:rPr>
          <w:sz w:val="24"/>
          <w:vertAlign w:val="subscript"/>
        </w:rPr>
        <w:t>2.5</w:t>
      </w:r>
      <w:r>
        <w:rPr>
          <w:sz w:val="24"/>
        </w:rPr>
        <w:t xml:space="preserve"> in New Jersey</w:t>
      </w:r>
      <w:r>
        <w:rPr>
          <w:sz w:val="24"/>
        </w:rPr>
        <w:tab/>
      </w:r>
      <w:r>
        <w:rPr>
          <w:sz w:val="24"/>
        </w:rPr>
        <w:fldChar w:fldCharType="begin"/>
      </w:r>
      <w:r>
        <w:rPr>
          <w:sz w:val="24"/>
        </w:rPr>
        <w:instrText xml:space="preserve"> PAGEREF Figure_III \h </w:instrText>
      </w:r>
      <w:r>
        <w:rPr>
          <w:sz w:val="24"/>
        </w:rPr>
      </w:r>
      <w:r>
        <w:rPr>
          <w:sz w:val="24"/>
        </w:rPr>
        <w:fldChar w:fldCharType="separate"/>
      </w:r>
      <w:r>
        <w:rPr>
          <w:noProof/>
          <w:sz w:val="24"/>
        </w:rPr>
        <w:t>19</w:t>
      </w:r>
      <w:r>
        <w:rPr>
          <w:sz w:val="24"/>
        </w:rPr>
        <w:fldChar w:fldCharType="end"/>
      </w:r>
    </w:p>
    <w:p w:rsidR="00000000" w:rsidRDefault="00C40079">
      <w:pPr>
        <w:tabs>
          <w:tab w:val="left" w:leader="dot" w:pos="9000"/>
        </w:tabs>
        <w:ind w:left="1440" w:right="360" w:hanging="1440"/>
        <w:rPr>
          <w:sz w:val="24"/>
        </w:rPr>
      </w:pPr>
      <w:r>
        <w:rPr>
          <w:sz w:val="24"/>
        </w:rPr>
        <w:t>Figure IV</w:t>
      </w:r>
      <w:r>
        <w:rPr>
          <w:sz w:val="24"/>
        </w:rPr>
        <w:tab/>
        <w:t>New Jersey Carbon Monoxide Maintenance Areas</w:t>
      </w:r>
      <w:r>
        <w:rPr>
          <w:sz w:val="24"/>
        </w:rPr>
        <w:tab/>
      </w:r>
      <w:r>
        <w:rPr>
          <w:sz w:val="24"/>
        </w:rPr>
        <w:fldChar w:fldCharType="begin"/>
      </w:r>
      <w:r>
        <w:rPr>
          <w:sz w:val="24"/>
        </w:rPr>
        <w:instrText xml:space="preserve"> PAGEREF Figure_IV \h </w:instrText>
      </w:r>
      <w:r>
        <w:rPr>
          <w:sz w:val="24"/>
        </w:rPr>
      </w:r>
      <w:r>
        <w:rPr>
          <w:sz w:val="24"/>
        </w:rPr>
        <w:fldChar w:fldCharType="separate"/>
      </w:r>
      <w:r>
        <w:rPr>
          <w:noProof/>
          <w:sz w:val="24"/>
        </w:rPr>
        <w:t>29</w:t>
      </w:r>
      <w:r>
        <w:rPr>
          <w:sz w:val="24"/>
        </w:rPr>
        <w:fldChar w:fldCharType="end"/>
      </w:r>
    </w:p>
    <w:p w:rsidR="00000000" w:rsidRDefault="00C40079">
      <w:pPr>
        <w:tabs>
          <w:tab w:val="left" w:leader="dot" w:pos="9000"/>
        </w:tabs>
        <w:ind w:left="1440" w:right="360" w:hanging="1440"/>
        <w:rPr>
          <w:sz w:val="24"/>
        </w:rPr>
      </w:pPr>
      <w:r>
        <w:rPr>
          <w:sz w:val="24"/>
        </w:rPr>
        <w:t>Figure V</w:t>
      </w:r>
      <w:r>
        <w:rPr>
          <w:sz w:val="24"/>
        </w:rPr>
        <w:tab/>
        <w:t>New Jersey Carbon Monoxide Monitoring Network (2004)</w:t>
      </w:r>
      <w:r>
        <w:rPr>
          <w:sz w:val="24"/>
        </w:rPr>
        <w:tab/>
      </w:r>
      <w:r>
        <w:rPr>
          <w:sz w:val="24"/>
        </w:rPr>
        <w:fldChar w:fldCharType="begin"/>
      </w:r>
      <w:r>
        <w:rPr>
          <w:sz w:val="24"/>
        </w:rPr>
        <w:instrText xml:space="preserve"> PAGEREF Figure_V \h </w:instrText>
      </w:r>
      <w:r>
        <w:rPr>
          <w:sz w:val="24"/>
        </w:rPr>
      </w:r>
      <w:r>
        <w:rPr>
          <w:sz w:val="24"/>
        </w:rPr>
        <w:fldChar w:fldCharType="separate"/>
      </w:r>
      <w:r>
        <w:rPr>
          <w:noProof/>
          <w:sz w:val="24"/>
        </w:rPr>
        <w:t>35</w:t>
      </w:r>
      <w:r>
        <w:rPr>
          <w:sz w:val="24"/>
        </w:rPr>
        <w:fldChar w:fldCharType="end"/>
      </w:r>
    </w:p>
    <w:p w:rsidR="00000000" w:rsidRDefault="00C40079">
      <w:pPr>
        <w:tabs>
          <w:tab w:val="left" w:leader="dot" w:pos="9000"/>
        </w:tabs>
        <w:ind w:left="1440" w:right="360" w:hanging="1440"/>
        <w:rPr>
          <w:sz w:val="24"/>
        </w:rPr>
      </w:pPr>
      <w:r>
        <w:rPr>
          <w:sz w:val="24"/>
        </w:rPr>
        <w:t>Figure VI</w:t>
      </w:r>
      <w:r>
        <w:rPr>
          <w:sz w:val="24"/>
        </w:rPr>
        <w:tab/>
        <w:t>New Jersey 8-Hour Ozone Nonattainment Areas</w:t>
      </w:r>
      <w:r>
        <w:rPr>
          <w:sz w:val="24"/>
        </w:rPr>
        <w:tab/>
      </w:r>
      <w:r>
        <w:rPr>
          <w:sz w:val="24"/>
        </w:rPr>
        <w:fldChar w:fldCharType="begin"/>
      </w:r>
      <w:r>
        <w:rPr>
          <w:sz w:val="24"/>
        </w:rPr>
        <w:instrText xml:space="preserve"> PAGEREF Figure_VI \h </w:instrText>
      </w:r>
      <w:r>
        <w:rPr>
          <w:sz w:val="24"/>
        </w:rPr>
      </w:r>
      <w:r>
        <w:rPr>
          <w:sz w:val="24"/>
        </w:rPr>
        <w:fldChar w:fldCharType="separate"/>
      </w:r>
      <w:r>
        <w:rPr>
          <w:noProof/>
          <w:sz w:val="24"/>
        </w:rPr>
        <w:t>39</w:t>
      </w:r>
      <w:r>
        <w:rPr>
          <w:sz w:val="24"/>
        </w:rPr>
        <w:fldChar w:fldCharType="end"/>
      </w:r>
    </w:p>
    <w:p w:rsidR="00000000" w:rsidRDefault="00C40079">
      <w:pPr>
        <w:tabs>
          <w:tab w:val="left" w:leader="dot" w:pos="9000"/>
        </w:tabs>
        <w:ind w:left="1440" w:right="360" w:hanging="1440"/>
        <w:rPr>
          <w:sz w:val="24"/>
        </w:rPr>
      </w:pPr>
      <w:r>
        <w:rPr>
          <w:sz w:val="24"/>
        </w:rPr>
        <w:t>Figure VII</w:t>
      </w:r>
      <w:r>
        <w:rPr>
          <w:sz w:val="24"/>
        </w:rPr>
        <w:tab/>
        <w:t>New Jersey Fine Particulate Matter Nonattainment Areas</w:t>
      </w:r>
      <w:r>
        <w:rPr>
          <w:sz w:val="24"/>
        </w:rPr>
        <w:tab/>
      </w:r>
      <w:bookmarkStart w:id="62" w:name="_Hlt126642176"/>
      <w:r>
        <w:rPr>
          <w:sz w:val="24"/>
        </w:rPr>
        <w:fldChar w:fldCharType="begin"/>
      </w:r>
      <w:r>
        <w:rPr>
          <w:sz w:val="24"/>
        </w:rPr>
        <w:instrText xml:space="preserve"> PAGEREF Fi</w:instrText>
      </w:r>
      <w:r>
        <w:rPr>
          <w:sz w:val="24"/>
        </w:rPr>
        <w:instrText xml:space="preserve">gure_VII \h </w:instrText>
      </w:r>
      <w:r>
        <w:rPr>
          <w:sz w:val="24"/>
        </w:rPr>
      </w:r>
      <w:r>
        <w:rPr>
          <w:sz w:val="24"/>
        </w:rPr>
        <w:fldChar w:fldCharType="separate"/>
      </w:r>
      <w:r>
        <w:rPr>
          <w:noProof/>
          <w:sz w:val="24"/>
        </w:rPr>
        <w:t>40</w:t>
      </w:r>
      <w:r>
        <w:rPr>
          <w:sz w:val="24"/>
        </w:rPr>
        <w:fldChar w:fldCharType="end"/>
      </w:r>
      <w:bookmarkEnd w:id="62"/>
    </w:p>
    <w:p w:rsidR="00000000" w:rsidRDefault="00C40079">
      <w:pPr>
        <w:tabs>
          <w:tab w:val="left" w:leader="dot" w:pos="9000"/>
        </w:tabs>
        <w:ind w:left="720" w:right="360" w:hanging="720"/>
        <w:rPr>
          <w:sz w:val="24"/>
        </w:rPr>
      </w:pPr>
    </w:p>
    <w:p w:rsidR="00000000" w:rsidRDefault="00C40079">
      <w:pPr>
        <w:rPr>
          <w:sz w:val="24"/>
        </w:rPr>
      </w:pPr>
    </w:p>
    <w:p w:rsidR="00000000" w:rsidRDefault="00C40079">
      <w:pPr>
        <w:rPr>
          <w:sz w:val="24"/>
        </w:rPr>
      </w:pPr>
      <w:r>
        <w:rPr>
          <w:sz w:val="24"/>
        </w:rPr>
        <w:br w:type="page"/>
      </w:r>
    </w:p>
    <w:p w:rsidR="00000000" w:rsidRDefault="00C40079">
      <w:pPr>
        <w:pStyle w:val="Heading3"/>
      </w:pPr>
      <w:bookmarkStart w:id="63" w:name="List_of_Appendices"/>
      <w:r>
        <w:t>List of Appendices</w:t>
      </w:r>
      <w:bookmarkStart w:id="64" w:name="_Hlt126641139"/>
      <w:bookmarkEnd w:id="63"/>
      <w:bookmarkEnd w:id="64"/>
    </w:p>
    <w:p w:rsidR="00000000" w:rsidRDefault="00C40079">
      <w:pPr>
        <w:pStyle w:val="Level2"/>
        <w:widowControl/>
        <w:tabs>
          <w:tab w:val="left" w:pos="1620"/>
        </w:tabs>
      </w:pPr>
    </w:p>
    <w:p w:rsidR="00000000" w:rsidRDefault="00C40079">
      <w:pPr>
        <w:ind w:left="1620" w:hanging="1620"/>
        <w:rPr>
          <w:sz w:val="24"/>
        </w:rPr>
      </w:pPr>
    </w:p>
    <w:p w:rsidR="00000000" w:rsidRDefault="00C40079">
      <w:pPr>
        <w:pStyle w:val="Heading5"/>
        <w:ind w:left="1620" w:hanging="1620"/>
      </w:pPr>
      <w:r>
        <w:t>Appendix A</w:t>
      </w:r>
      <w:r>
        <w:tab/>
        <w:t>History of New Jersey’s Carbon Monoxide State Implementation Plans</w:t>
      </w:r>
    </w:p>
    <w:p w:rsidR="00000000" w:rsidRDefault="00C40079">
      <w:pPr>
        <w:pStyle w:val="Level2"/>
        <w:widowControl/>
        <w:tabs>
          <w:tab w:val="left" w:pos="1620"/>
        </w:tabs>
      </w:pPr>
    </w:p>
    <w:p w:rsidR="00000000" w:rsidRDefault="00C40079">
      <w:pPr>
        <w:pStyle w:val="Level2"/>
        <w:widowControl/>
        <w:tabs>
          <w:tab w:val="left" w:pos="1620"/>
        </w:tabs>
      </w:pPr>
      <w:r>
        <w:t>Appendix B</w:t>
      </w:r>
      <w:r>
        <w:tab/>
        <w:t>History of New Jersey’s Ozone State Implementation Plans</w:t>
      </w:r>
    </w:p>
    <w:p w:rsidR="00000000" w:rsidRDefault="00C40079">
      <w:pPr>
        <w:pStyle w:val="Level2"/>
        <w:widowControl/>
        <w:tabs>
          <w:tab w:val="left" w:pos="1620"/>
        </w:tabs>
      </w:pPr>
    </w:p>
    <w:p w:rsidR="00000000" w:rsidRDefault="00C40079">
      <w:pPr>
        <w:pStyle w:val="Level2"/>
        <w:widowControl/>
        <w:tabs>
          <w:tab w:val="left" w:pos="1620"/>
        </w:tabs>
        <w:ind w:left="1620" w:hanging="1620"/>
      </w:pPr>
      <w:r>
        <w:t>*Appendix C</w:t>
      </w:r>
      <w:r>
        <w:tab/>
        <w:t>Transportation Conformity Emission Budget Back-up Fil</w:t>
      </w:r>
      <w:r>
        <w:t>es</w:t>
      </w:r>
    </w:p>
    <w:p w:rsidR="00000000" w:rsidRDefault="00C40079"/>
    <w:p w:rsidR="00000000" w:rsidRDefault="00C40079">
      <w:pPr>
        <w:pStyle w:val="Heading5"/>
        <w:ind w:left="1620" w:hanging="1620"/>
      </w:pPr>
      <w:r>
        <w:t>Appendix D</w:t>
      </w:r>
      <w:r>
        <w:tab/>
        <w:t>2002 Periodic Emissions Inventory Document</w:t>
      </w:r>
    </w:p>
    <w:p w:rsidR="00000000" w:rsidRDefault="00C40079">
      <w:pPr>
        <w:ind w:left="3600" w:hanging="1980"/>
        <w:outlineLvl w:val="0"/>
        <w:rPr>
          <w:sz w:val="24"/>
        </w:rPr>
      </w:pPr>
      <w:r>
        <w:rPr>
          <w:sz w:val="24"/>
        </w:rPr>
        <w:t>Attachment 1</w:t>
      </w:r>
      <w:r>
        <w:rPr>
          <w:sz w:val="24"/>
        </w:rPr>
        <w:tab/>
        <w:t>Inventory Top 15 by SCC Graphs</w:t>
      </w:r>
    </w:p>
    <w:p w:rsidR="00000000" w:rsidRDefault="00C40079">
      <w:pPr>
        <w:ind w:left="3600" w:hanging="1980"/>
        <w:outlineLvl w:val="0"/>
        <w:rPr>
          <w:sz w:val="24"/>
        </w:rPr>
      </w:pPr>
      <w:r>
        <w:rPr>
          <w:sz w:val="24"/>
        </w:rPr>
        <w:t>Attachment 2</w:t>
      </w:r>
      <w:r>
        <w:rPr>
          <w:sz w:val="24"/>
        </w:rPr>
        <w:tab/>
        <w:t>Fugitive Dust Inventory Discussion and Summary</w:t>
      </w:r>
    </w:p>
    <w:p w:rsidR="00000000" w:rsidRDefault="00C40079">
      <w:pPr>
        <w:ind w:left="3600" w:hanging="1980"/>
        <w:outlineLvl w:val="0"/>
        <w:rPr>
          <w:sz w:val="24"/>
        </w:rPr>
      </w:pPr>
      <w:r>
        <w:rPr>
          <w:sz w:val="24"/>
        </w:rPr>
        <w:t>Attachment 3</w:t>
      </w:r>
      <w:r>
        <w:rPr>
          <w:sz w:val="24"/>
        </w:rPr>
        <w:tab/>
        <w:t>Point Source: Creating the 2002 Point Source Inventory</w:t>
      </w:r>
    </w:p>
    <w:p w:rsidR="00000000" w:rsidRDefault="00C40079">
      <w:pPr>
        <w:ind w:left="3600" w:hanging="1980"/>
        <w:outlineLvl w:val="0"/>
        <w:rPr>
          <w:sz w:val="24"/>
        </w:rPr>
      </w:pPr>
      <w:r>
        <w:rPr>
          <w:sz w:val="24"/>
        </w:rPr>
        <w:t>Attachment 4*</w:t>
      </w:r>
      <w:r>
        <w:rPr>
          <w:sz w:val="24"/>
        </w:rPr>
        <w:tab/>
        <w:t>Point Source</w:t>
      </w:r>
      <w:r>
        <w:rPr>
          <w:sz w:val="24"/>
        </w:rPr>
        <w:t xml:space="preserve"> VOC Inventory</w:t>
      </w:r>
    </w:p>
    <w:p w:rsidR="00000000" w:rsidRDefault="00C40079">
      <w:pPr>
        <w:ind w:left="3600" w:hanging="1980"/>
        <w:outlineLvl w:val="0"/>
        <w:rPr>
          <w:sz w:val="24"/>
        </w:rPr>
      </w:pPr>
      <w:r>
        <w:rPr>
          <w:sz w:val="24"/>
        </w:rPr>
        <w:t>Attachment 5*</w:t>
      </w:r>
      <w:r>
        <w:rPr>
          <w:sz w:val="24"/>
        </w:rPr>
        <w:tab/>
        <w:t>Point Source NO</w:t>
      </w:r>
      <w:r>
        <w:rPr>
          <w:sz w:val="24"/>
          <w:vertAlign w:val="subscript"/>
        </w:rPr>
        <w:t>x</w:t>
      </w:r>
      <w:r>
        <w:rPr>
          <w:sz w:val="24"/>
        </w:rPr>
        <w:t xml:space="preserve"> Inventory</w:t>
      </w:r>
    </w:p>
    <w:p w:rsidR="00000000" w:rsidRDefault="00C40079">
      <w:pPr>
        <w:ind w:left="3600" w:hanging="1980"/>
        <w:outlineLvl w:val="0"/>
        <w:rPr>
          <w:sz w:val="24"/>
        </w:rPr>
      </w:pPr>
      <w:r>
        <w:rPr>
          <w:sz w:val="24"/>
        </w:rPr>
        <w:t>Attachment 6*</w:t>
      </w:r>
      <w:r>
        <w:rPr>
          <w:sz w:val="24"/>
        </w:rPr>
        <w:tab/>
        <w:t>Point Source CO Inventory</w:t>
      </w:r>
    </w:p>
    <w:p w:rsidR="00000000" w:rsidRDefault="00C40079">
      <w:pPr>
        <w:ind w:left="3600" w:hanging="1980"/>
        <w:outlineLvl w:val="0"/>
        <w:rPr>
          <w:sz w:val="24"/>
        </w:rPr>
      </w:pPr>
      <w:r>
        <w:rPr>
          <w:sz w:val="24"/>
        </w:rPr>
        <w:t>Attachment 7*</w:t>
      </w:r>
      <w:r>
        <w:rPr>
          <w:sz w:val="24"/>
        </w:rPr>
        <w:tab/>
        <w:t>Point Source PM</w:t>
      </w:r>
      <w:r>
        <w:rPr>
          <w:sz w:val="24"/>
          <w:vertAlign w:val="subscript"/>
        </w:rPr>
        <w:t>10</w:t>
      </w:r>
      <w:r>
        <w:rPr>
          <w:sz w:val="24"/>
        </w:rPr>
        <w:t xml:space="preserve"> Inventory</w:t>
      </w:r>
    </w:p>
    <w:p w:rsidR="00000000" w:rsidRDefault="00C40079">
      <w:pPr>
        <w:ind w:left="3600" w:hanging="1980"/>
        <w:outlineLvl w:val="0"/>
        <w:rPr>
          <w:sz w:val="24"/>
        </w:rPr>
      </w:pPr>
      <w:r>
        <w:rPr>
          <w:sz w:val="24"/>
        </w:rPr>
        <w:t>Attachment 8*</w:t>
      </w:r>
      <w:r>
        <w:rPr>
          <w:sz w:val="24"/>
        </w:rPr>
        <w:tab/>
        <w:t>Point Source PM</w:t>
      </w:r>
      <w:r>
        <w:rPr>
          <w:sz w:val="24"/>
          <w:vertAlign w:val="subscript"/>
        </w:rPr>
        <w:t>2.5</w:t>
      </w:r>
      <w:r>
        <w:rPr>
          <w:sz w:val="24"/>
        </w:rPr>
        <w:t xml:space="preserve"> Inventory</w:t>
      </w:r>
    </w:p>
    <w:p w:rsidR="00000000" w:rsidRDefault="00C40079">
      <w:pPr>
        <w:ind w:left="3600" w:hanging="1980"/>
        <w:outlineLvl w:val="0"/>
        <w:rPr>
          <w:sz w:val="24"/>
        </w:rPr>
      </w:pPr>
      <w:r>
        <w:rPr>
          <w:sz w:val="24"/>
        </w:rPr>
        <w:t>Attachment 9*</w:t>
      </w:r>
      <w:r>
        <w:rPr>
          <w:sz w:val="24"/>
        </w:rPr>
        <w:tab/>
        <w:t>Point Source SO</w:t>
      </w:r>
      <w:r>
        <w:rPr>
          <w:sz w:val="24"/>
          <w:vertAlign w:val="subscript"/>
        </w:rPr>
        <w:t>2</w:t>
      </w:r>
      <w:r>
        <w:rPr>
          <w:sz w:val="24"/>
        </w:rPr>
        <w:t xml:space="preserve"> Inventory</w:t>
      </w:r>
    </w:p>
    <w:p w:rsidR="00000000" w:rsidRDefault="00C40079">
      <w:pPr>
        <w:ind w:left="3600" w:hanging="1980"/>
        <w:outlineLvl w:val="0"/>
        <w:rPr>
          <w:sz w:val="24"/>
        </w:rPr>
      </w:pPr>
      <w:r>
        <w:rPr>
          <w:sz w:val="24"/>
        </w:rPr>
        <w:t>Attachment 10*</w:t>
      </w:r>
      <w:r>
        <w:rPr>
          <w:sz w:val="24"/>
        </w:rPr>
        <w:tab/>
        <w:t>Point Source NH</w:t>
      </w:r>
      <w:r>
        <w:rPr>
          <w:sz w:val="24"/>
          <w:vertAlign w:val="subscript"/>
        </w:rPr>
        <w:t>3</w:t>
      </w:r>
      <w:r>
        <w:rPr>
          <w:sz w:val="24"/>
        </w:rPr>
        <w:t xml:space="preserve"> In</w:t>
      </w:r>
      <w:r>
        <w:rPr>
          <w:sz w:val="24"/>
        </w:rPr>
        <w:t>ventory</w:t>
      </w:r>
    </w:p>
    <w:p w:rsidR="00000000" w:rsidRDefault="00C40079">
      <w:pPr>
        <w:ind w:left="3600" w:hanging="1980"/>
        <w:outlineLvl w:val="0"/>
        <w:rPr>
          <w:sz w:val="24"/>
        </w:rPr>
      </w:pPr>
      <w:r>
        <w:rPr>
          <w:sz w:val="24"/>
        </w:rPr>
        <w:t>Attachment 11*</w:t>
      </w:r>
      <w:r>
        <w:rPr>
          <w:sz w:val="24"/>
        </w:rPr>
        <w:tab/>
        <w:t>Area Source Calculation Sheets</w:t>
      </w:r>
    </w:p>
    <w:p w:rsidR="00000000" w:rsidRDefault="00C40079">
      <w:pPr>
        <w:ind w:left="3600" w:hanging="1980"/>
        <w:outlineLvl w:val="0"/>
        <w:rPr>
          <w:sz w:val="24"/>
        </w:rPr>
      </w:pPr>
      <w:r>
        <w:rPr>
          <w:sz w:val="24"/>
        </w:rPr>
        <w:t>Attachment 12*</w:t>
      </w:r>
      <w:r>
        <w:rPr>
          <w:sz w:val="24"/>
        </w:rPr>
        <w:tab/>
        <w:t>Area Source Inventories</w:t>
      </w:r>
    </w:p>
    <w:p w:rsidR="00000000" w:rsidRDefault="00C40079">
      <w:pPr>
        <w:ind w:left="3600" w:hanging="1980"/>
        <w:outlineLvl w:val="0"/>
        <w:rPr>
          <w:sz w:val="24"/>
        </w:rPr>
      </w:pPr>
      <w:r>
        <w:rPr>
          <w:sz w:val="24"/>
        </w:rPr>
        <w:t>Attachment 13*</w:t>
      </w:r>
      <w:r>
        <w:rPr>
          <w:sz w:val="24"/>
        </w:rPr>
        <w:tab/>
        <w:t>Onroad Source DVMT</w:t>
      </w:r>
    </w:p>
    <w:p w:rsidR="00000000" w:rsidRDefault="00C40079">
      <w:pPr>
        <w:ind w:left="3600" w:hanging="1980"/>
        <w:outlineLvl w:val="0"/>
        <w:rPr>
          <w:sz w:val="24"/>
        </w:rPr>
      </w:pPr>
      <w:r>
        <w:rPr>
          <w:sz w:val="24"/>
        </w:rPr>
        <w:t>Attachment 14*</w:t>
      </w:r>
      <w:r>
        <w:rPr>
          <w:sz w:val="24"/>
        </w:rPr>
        <w:tab/>
        <w:t>Onroad Source PPSUITE Files</w:t>
      </w:r>
    </w:p>
    <w:p w:rsidR="00000000" w:rsidRDefault="00C40079">
      <w:pPr>
        <w:ind w:left="3600" w:hanging="1980"/>
        <w:outlineLvl w:val="0"/>
        <w:rPr>
          <w:sz w:val="24"/>
        </w:rPr>
      </w:pPr>
      <w:r>
        <w:rPr>
          <w:sz w:val="24"/>
        </w:rPr>
        <w:t>Attachment 15*</w:t>
      </w:r>
      <w:r>
        <w:rPr>
          <w:sz w:val="24"/>
        </w:rPr>
        <w:tab/>
        <w:t>Onroad Source North Jersey Transportation Planning Authority Calculatio</w:t>
      </w:r>
      <w:r>
        <w:rPr>
          <w:sz w:val="24"/>
        </w:rPr>
        <w:t>n Files</w:t>
      </w:r>
    </w:p>
    <w:p w:rsidR="00000000" w:rsidRDefault="00C40079">
      <w:pPr>
        <w:ind w:left="3600" w:hanging="1980"/>
        <w:outlineLvl w:val="0"/>
        <w:rPr>
          <w:sz w:val="24"/>
        </w:rPr>
      </w:pPr>
      <w:r>
        <w:rPr>
          <w:sz w:val="24"/>
        </w:rPr>
        <w:t>Attachment 16*</w:t>
      </w:r>
      <w:r>
        <w:rPr>
          <w:sz w:val="24"/>
        </w:rPr>
        <w:tab/>
        <w:t>Onroad Source South Jersey Transportation Planning Organization Calculation Files</w:t>
      </w:r>
    </w:p>
    <w:p w:rsidR="00000000" w:rsidRDefault="00C40079">
      <w:pPr>
        <w:ind w:left="3600" w:hanging="1980"/>
        <w:outlineLvl w:val="0"/>
        <w:rPr>
          <w:sz w:val="24"/>
        </w:rPr>
      </w:pPr>
      <w:r>
        <w:rPr>
          <w:sz w:val="24"/>
        </w:rPr>
        <w:t>Attachment 17*</w:t>
      </w:r>
      <w:r>
        <w:rPr>
          <w:sz w:val="24"/>
        </w:rPr>
        <w:tab/>
        <w:t>Onroad Source Delaware Valley Regional Planning Commission Calculation Files</w:t>
      </w:r>
    </w:p>
    <w:p w:rsidR="00000000" w:rsidRDefault="00C40079">
      <w:pPr>
        <w:ind w:left="3600" w:hanging="1980"/>
        <w:outlineLvl w:val="0"/>
        <w:rPr>
          <w:sz w:val="24"/>
        </w:rPr>
      </w:pPr>
      <w:r>
        <w:rPr>
          <w:sz w:val="24"/>
        </w:rPr>
        <w:t>Attachment 18*</w:t>
      </w:r>
      <w:r>
        <w:rPr>
          <w:sz w:val="24"/>
        </w:rPr>
        <w:tab/>
        <w:t>Onroad Source Inventory</w:t>
      </w:r>
    </w:p>
    <w:p w:rsidR="00000000" w:rsidRDefault="00C40079">
      <w:pPr>
        <w:ind w:left="3600" w:hanging="1980"/>
        <w:outlineLvl w:val="0"/>
        <w:rPr>
          <w:sz w:val="24"/>
        </w:rPr>
      </w:pPr>
      <w:r>
        <w:rPr>
          <w:sz w:val="24"/>
        </w:rPr>
        <w:t>Attachment 19</w:t>
      </w:r>
      <w:r>
        <w:rPr>
          <w:sz w:val="24"/>
        </w:rPr>
        <w:tab/>
        <w:t>Onroad</w:t>
      </w:r>
      <w:r>
        <w:rPr>
          <w:sz w:val="24"/>
        </w:rPr>
        <w:t xml:space="preserve"> Sources Refueling Emissions by County</w:t>
      </w:r>
    </w:p>
    <w:p w:rsidR="00000000" w:rsidRDefault="00C40079">
      <w:pPr>
        <w:ind w:left="3600" w:hanging="1980"/>
        <w:outlineLvl w:val="0"/>
        <w:rPr>
          <w:sz w:val="24"/>
        </w:rPr>
      </w:pPr>
      <w:r>
        <w:rPr>
          <w:sz w:val="24"/>
        </w:rPr>
        <w:t>Attachment 20*</w:t>
      </w:r>
      <w:r>
        <w:rPr>
          <w:sz w:val="24"/>
        </w:rPr>
        <w:tab/>
        <w:t>Nonroad Calculation Sheets for Orphan Categories</w:t>
      </w:r>
    </w:p>
    <w:p w:rsidR="00000000" w:rsidRDefault="00C40079">
      <w:pPr>
        <w:ind w:left="3600" w:hanging="1980"/>
        <w:outlineLvl w:val="0"/>
        <w:rPr>
          <w:sz w:val="24"/>
        </w:rPr>
      </w:pPr>
      <w:r>
        <w:rPr>
          <w:sz w:val="24"/>
        </w:rPr>
        <w:t>Attachment 21*</w:t>
      </w:r>
      <w:r>
        <w:rPr>
          <w:sz w:val="24"/>
        </w:rPr>
        <w:tab/>
        <w:t>Nonroad Source Inventory</w:t>
      </w:r>
    </w:p>
    <w:p w:rsidR="00000000" w:rsidRDefault="00C40079">
      <w:pPr>
        <w:ind w:left="3600" w:hanging="1980"/>
        <w:outlineLvl w:val="0"/>
        <w:rPr>
          <w:sz w:val="24"/>
        </w:rPr>
      </w:pPr>
      <w:r>
        <w:rPr>
          <w:sz w:val="24"/>
        </w:rPr>
        <w:t>Attachment 22*</w:t>
      </w:r>
      <w:r>
        <w:rPr>
          <w:sz w:val="24"/>
        </w:rPr>
        <w:tab/>
        <w:t>Biogenic Source NH</w:t>
      </w:r>
      <w:r>
        <w:rPr>
          <w:sz w:val="24"/>
          <w:vertAlign w:val="subscript"/>
        </w:rPr>
        <w:t>3</w:t>
      </w:r>
      <w:r>
        <w:rPr>
          <w:sz w:val="24"/>
        </w:rPr>
        <w:t xml:space="preserve"> Inventory</w:t>
      </w:r>
    </w:p>
    <w:p w:rsidR="00000000" w:rsidRDefault="00C40079">
      <w:pPr>
        <w:ind w:left="3600" w:hanging="1980"/>
        <w:outlineLvl w:val="0"/>
        <w:rPr>
          <w:sz w:val="24"/>
        </w:rPr>
      </w:pPr>
      <w:r>
        <w:rPr>
          <w:sz w:val="24"/>
        </w:rPr>
        <w:t>Attachment 23</w:t>
      </w:r>
      <w:r>
        <w:rPr>
          <w:sz w:val="24"/>
        </w:rPr>
        <w:tab/>
        <w:t>Point Source Quality Assurance Documentation</w:t>
      </w:r>
    </w:p>
    <w:p w:rsidR="00000000" w:rsidRDefault="00C40079">
      <w:pPr>
        <w:ind w:left="3600" w:hanging="1980"/>
        <w:outlineLvl w:val="0"/>
        <w:rPr>
          <w:sz w:val="24"/>
        </w:rPr>
      </w:pPr>
      <w:r>
        <w:rPr>
          <w:sz w:val="24"/>
        </w:rPr>
        <w:t>Attachmen</w:t>
      </w:r>
      <w:r>
        <w:rPr>
          <w:sz w:val="24"/>
        </w:rPr>
        <w:t xml:space="preserve">t 24 </w:t>
      </w:r>
      <w:r>
        <w:rPr>
          <w:sz w:val="24"/>
        </w:rPr>
        <w:tab/>
        <w:t>Point Source Detailed Information</w:t>
      </w:r>
    </w:p>
    <w:p w:rsidR="00000000" w:rsidRDefault="00C40079">
      <w:pPr>
        <w:ind w:left="3600" w:hanging="1980"/>
        <w:outlineLvl w:val="0"/>
        <w:rPr>
          <w:sz w:val="24"/>
        </w:rPr>
      </w:pPr>
      <w:r>
        <w:rPr>
          <w:sz w:val="24"/>
        </w:rPr>
        <w:t>Attachment 25*</w:t>
      </w:r>
      <w:r>
        <w:rPr>
          <w:sz w:val="24"/>
        </w:rPr>
        <w:tab/>
        <w:t>Area Source Inventory Comparisons</w:t>
      </w:r>
    </w:p>
    <w:p w:rsidR="00000000" w:rsidRDefault="00C40079">
      <w:pPr>
        <w:pStyle w:val="Header"/>
        <w:tabs>
          <w:tab w:val="clear" w:pos="4320"/>
          <w:tab w:val="clear" w:pos="8640"/>
        </w:tabs>
        <w:rPr>
          <w:sz w:val="24"/>
        </w:rPr>
      </w:pPr>
    </w:p>
    <w:p w:rsidR="00000000" w:rsidRDefault="00C40079">
      <w:pPr>
        <w:pStyle w:val="Header"/>
        <w:tabs>
          <w:tab w:val="clear" w:pos="4320"/>
          <w:tab w:val="clear" w:pos="8640"/>
        </w:tabs>
        <w:rPr>
          <w:sz w:val="24"/>
        </w:rPr>
      </w:pPr>
    </w:p>
    <w:p w:rsidR="00000000" w:rsidRDefault="00C40079">
      <w:pPr>
        <w:pStyle w:val="Header"/>
        <w:tabs>
          <w:tab w:val="clear" w:pos="4320"/>
          <w:tab w:val="clear" w:pos="8640"/>
        </w:tabs>
        <w:rPr>
          <w:sz w:val="24"/>
        </w:rPr>
      </w:pPr>
    </w:p>
    <w:p w:rsidR="00000000" w:rsidRDefault="00C40079">
      <w:pPr>
        <w:rPr>
          <w:sz w:val="24"/>
        </w:rPr>
      </w:pPr>
      <w:r>
        <w:rPr>
          <w:sz w:val="24"/>
        </w:rPr>
        <w:t xml:space="preserve">* </w:t>
      </w:r>
      <w:r>
        <w:rPr>
          <w:b/>
          <w:sz w:val="24"/>
        </w:rPr>
        <w:t>Note: These appendices and attachments are only available electronically.</w:t>
      </w:r>
    </w:p>
    <w:p w:rsidR="00000000" w:rsidRDefault="00C40079">
      <w:pPr>
        <w:rPr>
          <w:sz w:val="24"/>
        </w:rPr>
      </w:pPr>
    </w:p>
    <w:p w:rsidR="00000000" w:rsidRDefault="00C40079">
      <w:pPr>
        <w:rPr>
          <w:b/>
          <w:sz w:val="24"/>
        </w:rPr>
      </w:pPr>
    </w:p>
    <w:p w:rsidR="00000000" w:rsidRDefault="00C40079">
      <w:pPr>
        <w:rPr>
          <w:sz w:val="24"/>
        </w:rPr>
      </w:pPr>
    </w:p>
    <w:p w:rsidR="00000000" w:rsidRDefault="00C40079">
      <w:pPr>
        <w:pStyle w:val="Heading3"/>
      </w:pPr>
      <w:bookmarkStart w:id="65" w:name="Acronyms"/>
      <w:bookmarkStart w:id="66" w:name="_Hlt126633558"/>
      <w:bookmarkEnd w:id="66"/>
      <w:r>
        <w:lastRenderedPageBreak/>
        <w:t>Acronyms and Abbreviations</w:t>
      </w:r>
      <w:bookmarkEnd w:id="65"/>
    </w:p>
    <w:p w:rsidR="00000000" w:rsidRDefault="00C40079">
      <w:pPr>
        <w:rPr>
          <w:sz w:val="24"/>
        </w:rPr>
      </w:pPr>
    </w:p>
    <w:p w:rsidR="00000000" w:rsidRDefault="00C40079">
      <w:pPr>
        <w:ind w:left="1440" w:hanging="1440"/>
        <w:rPr>
          <w:sz w:val="24"/>
        </w:rPr>
      </w:pPr>
      <w:r>
        <w:rPr>
          <w:sz w:val="24"/>
        </w:rPr>
        <w:t>AADF</w:t>
      </w:r>
      <w:r>
        <w:rPr>
          <w:sz w:val="24"/>
        </w:rPr>
        <w:tab/>
        <w:t>Annual Activity Day Factors</w:t>
      </w:r>
    </w:p>
    <w:p w:rsidR="00000000" w:rsidRDefault="00C40079">
      <w:pPr>
        <w:ind w:left="1440" w:hanging="1440"/>
        <w:rPr>
          <w:sz w:val="24"/>
        </w:rPr>
      </w:pPr>
      <w:r>
        <w:rPr>
          <w:sz w:val="24"/>
        </w:rPr>
        <w:t>CFR</w:t>
      </w:r>
      <w:r>
        <w:rPr>
          <w:sz w:val="24"/>
        </w:rPr>
        <w:tab/>
        <w:t>Code of Federal Regu</w:t>
      </w:r>
      <w:r>
        <w:rPr>
          <w:sz w:val="24"/>
        </w:rPr>
        <w:t>lations</w:t>
      </w:r>
    </w:p>
    <w:p w:rsidR="00000000" w:rsidRDefault="00C40079">
      <w:pPr>
        <w:ind w:left="1440" w:hanging="1440"/>
        <w:rPr>
          <w:sz w:val="24"/>
        </w:rPr>
      </w:pPr>
      <w:r>
        <w:rPr>
          <w:sz w:val="24"/>
        </w:rPr>
        <w:t>CNG</w:t>
      </w:r>
      <w:r>
        <w:rPr>
          <w:sz w:val="24"/>
        </w:rPr>
        <w:tab/>
        <w:t>Compressed Natural Gas</w:t>
      </w:r>
    </w:p>
    <w:p w:rsidR="00000000" w:rsidRDefault="00C40079">
      <w:pPr>
        <w:ind w:left="1440" w:hanging="1440"/>
        <w:rPr>
          <w:sz w:val="24"/>
        </w:rPr>
      </w:pPr>
      <w:r>
        <w:rPr>
          <w:sz w:val="24"/>
        </w:rPr>
        <w:t>DVMT</w:t>
      </w:r>
      <w:r>
        <w:rPr>
          <w:sz w:val="24"/>
        </w:rPr>
        <w:tab/>
        <w:t>Daily Vehicle Miles Traveled</w:t>
      </w:r>
    </w:p>
    <w:p w:rsidR="00000000" w:rsidRDefault="00C40079">
      <w:pPr>
        <w:ind w:left="1440" w:hanging="1440"/>
        <w:rPr>
          <w:sz w:val="24"/>
        </w:rPr>
      </w:pPr>
      <w:r>
        <w:rPr>
          <w:sz w:val="24"/>
        </w:rPr>
        <w:t>EDMS</w:t>
      </w:r>
      <w:r>
        <w:rPr>
          <w:sz w:val="24"/>
        </w:rPr>
        <w:tab/>
        <w:t>Emissions and Dispersion Modeling System</w:t>
      </w:r>
    </w:p>
    <w:p w:rsidR="00000000" w:rsidRDefault="00C40079">
      <w:pPr>
        <w:ind w:left="1440" w:hanging="1440"/>
        <w:rPr>
          <w:sz w:val="24"/>
        </w:rPr>
      </w:pPr>
      <w:r>
        <w:rPr>
          <w:sz w:val="24"/>
        </w:rPr>
        <w:t>EWR</w:t>
      </w:r>
      <w:r>
        <w:rPr>
          <w:sz w:val="24"/>
        </w:rPr>
        <w:tab/>
        <w:t>Newark Liberty International Airport</w:t>
      </w:r>
    </w:p>
    <w:p w:rsidR="00000000" w:rsidRDefault="00C40079">
      <w:pPr>
        <w:rPr>
          <w:sz w:val="24"/>
        </w:rPr>
      </w:pPr>
      <w:r>
        <w:rPr>
          <w:sz w:val="24"/>
        </w:rPr>
        <w:t>FMVCP</w:t>
      </w:r>
      <w:r>
        <w:rPr>
          <w:sz w:val="24"/>
        </w:rPr>
        <w:tab/>
        <w:t>Federal Motor Vehicle Control Program</w:t>
      </w:r>
    </w:p>
    <w:p w:rsidR="00000000" w:rsidRDefault="00C40079">
      <w:pPr>
        <w:ind w:left="1440" w:hanging="1440"/>
        <w:rPr>
          <w:sz w:val="24"/>
        </w:rPr>
      </w:pPr>
      <w:r>
        <w:rPr>
          <w:sz w:val="24"/>
        </w:rPr>
        <w:t>FR</w:t>
      </w:r>
      <w:r>
        <w:rPr>
          <w:sz w:val="24"/>
        </w:rPr>
        <w:tab/>
        <w:t>Federal Register</w:t>
      </w:r>
    </w:p>
    <w:p w:rsidR="00000000" w:rsidRDefault="00C40079">
      <w:pPr>
        <w:ind w:left="1440" w:hanging="1440"/>
        <w:rPr>
          <w:sz w:val="24"/>
        </w:rPr>
      </w:pPr>
      <w:r>
        <w:rPr>
          <w:sz w:val="24"/>
        </w:rPr>
        <w:t>GSE</w:t>
      </w:r>
      <w:r>
        <w:rPr>
          <w:sz w:val="24"/>
        </w:rPr>
        <w:tab/>
        <w:t>Ground Support Equipment</w:t>
      </w:r>
    </w:p>
    <w:p w:rsidR="00000000" w:rsidRDefault="00C40079">
      <w:pPr>
        <w:ind w:left="1440" w:hanging="1440"/>
        <w:rPr>
          <w:sz w:val="24"/>
        </w:rPr>
      </w:pPr>
      <w:r>
        <w:rPr>
          <w:sz w:val="24"/>
        </w:rPr>
        <w:t>HDDV</w:t>
      </w:r>
      <w:r>
        <w:rPr>
          <w:sz w:val="24"/>
        </w:rPr>
        <w:tab/>
        <w:t>He</w:t>
      </w:r>
      <w:r>
        <w:rPr>
          <w:sz w:val="24"/>
        </w:rPr>
        <w:t>avy Duty Diesel Vehicles</w:t>
      </w:r>
    </w:p>
    <w:p w:rsidR="00000000" w:rsidRDefault="00C40079">
      <w:pPr>
        <w:ind w:left="1440" w:hanging="1440"/>
        <w:rPr>
          <w:sz w:val="24"/>
        </w:rPr>
      </w:pPr>
      <w:r>
        <w:rPr>
          <w:sz w:val="24"/>
        </w:rPr>
        <w:t>I/M</w:t>
      </w:r>
      <w:r>
        <w:rPr>
          <w:sz w:val="24"/>
        </w:rPr>
        <w:tab/>
        <w:t>Inspection and Maintenance</w:t>
      </w:r>
    </w:p>
    <w:p w:rsidR="00000000" w:rsidRDefault="00C40079">
      <w:pPr>
        <w:ind w:left="1440" w:hanging="1440"/>
        <w:rPr>
          <w:sz w:val="24"/>
        </w:rPr>
      </w:pPr>
      <w:r>
        <w:rPr>
          <w:sz w:val="24"/>
        </w:rPr>
        <w:t>LDGT</w:t>
      </w:r>
      <w:r>
        <w:rPr>
          <w:sz w:val="24"/>
        </w:rPr>
        <w:tab/>
        <w:t>Light Duty Gasoline Trucks</w:t>
      </w:r>
    </w:p>
    <w:p w:rsidR="00000000" w:rsidRDefault="00C40079">
      <w:pPr>
        <w:ind w:left="1440" w:hanging="1440"/>
        <w:rPr>
          <w:sz w:val="24"/>
        </w:rPr>
      </w:pPr>
      <w:r>
        <w:rPr>
          <w:sz w:val="24"/>
        </w:rPr>
        <w:t>LDGV</w:t>
      </w:r>
      <w:r>
        <w:rPr>
          <w:sz w:val="24"/>
        </w:rPr>
        <w:tab/>
        <w:t>Light Duty Gasoline Vehicle</w:t>
      </w:r>
    </w:p>
    <w:p w:rsidR="00000000" w:rsidRDefault="00C40079">
      <w:pPr>
        <w:ind w:left="1440" w:hanging="1440"/>
        <w:rPr>
          <w:sz w:val="24"/>
        </w:rPr>
      </w:pPr>
      <w:r>
        <w:rPr>
          <w:sz w:val="24"/>
        </w:rPr>
        <w:t>LPG</w:t>
      </w:r>
      <w:r>
        <w:rPr>
          <w:sz w:val="24"/>
        </w:rPr>
        <w:tab/>
        <w:t>Liquefied Petroleum Gas</w:t>
      </w:r>
    </w:p>
    <w:p w:rsidR="00000000" w:rsidRDefault="00C40079">
      <w:pPr>
        <w:ind w:left="1440" w:hanging="1440"/>
        <w:rPr>
          <w:sz w:val="24"/>
        </w:rPr>
      </w:pPr>
      <w:r>
        <w:rPr>
          <w:sz w:val="24"/>
        </w:rPr>
        <w:t>LTO</w:t>
      </w:r>
      <w:r>
        <w:rPr>
          <w:sz w:val="24"/>
        </w:rPr>
        <w:tab/>
        <w:t>Landing and Take-off Operations</w:t>
      </w:r>
    </w:p>
    <w:p w:rsidR="00000000" w:rsidRDefault="00C40079">
      <w:pPr>
        <w:ind w:left="1440" w:hanging="1440"/>
        <w:rPr>
          <w:sz w:val="24"/>
        </w:rPr>
      </w:pPr>
      <w:r>
        <w:rPr>
          <w:sz w:val="24"/>
        </w:rPr>
        <w:t>NAAQS</w:t>
      </w:r>
      <w:r>
        <w:rPr>
          <w:sz w:val="24"/>
        </w:rPr>
        <w:tab/>
        <w:t>National Ambient Air Quality Standards</w:t>
      </w:r>
    </w:p>
    <w:p w:rsidR="00000000" w:rsidRDefault="00C40079">
      <w:pPr>
        <w:ind w:left="1440" w:hanging="1440"/>
        <w:rPr>
          <w:sz w:val="24"/>
        </w:rPr>
      </w:pPr>
      <w:r>
        <w:rPr>
          <w:sz w:val="24"/>
        </w:rPr>
        <w:t>NEI</w:t>
      </w:r>
      <w:r>
        <w:rPr>
          <w:sz w:val="24"/>
        </w:rPr>
        <w:tab/>
        <w:t>National Emissions Inv</w:t>
      </w:r>
      <w:r>
        <w:rPr>
          <w:sz w:val="24"/>
        </w:rPr>
        <w:t>entory</w:t>
      </w:r>
    </w:p>
    <w:p w:rsidR="00000000" w:rsidRDefault="00C40079">
      <w:pPr>
        <w:ind w:left="1440" w:hanging="1440"/>
        <w:rPr>
          <w:sz w:val="24"/>
        </w:rPr>
      </w:pPr>
      <w:r>
        <w:rPr>
          <w:sz w:val="24"/>
        </w:rPr>
        <w:t>NH</w:t>
      </w:r>
      <w:r>
        <w:rPr>
          <w:sz w:val="24"/>
          <w:vertAlign w:val="subscript"/>
        </w:rPr>
        <w:t>3</w:t>
      </w:r>
      <w:r>
        <w:rPr>
          <w:sz w:val="24"/>
        </w:rPr>
        <w:tab/>
        <w:t>Ammonia</w:t>
      </w:r>
    </w:p>
    <w:p w:rsidR="00000000" w:rsidRDefault="00C40079">
      <w:pPr>
        <w:ind w:left="1440" w:hanging="1440"/>
        <w:rPr>
          <w:sz w:val="24"/>
        </w:rPr>
      </w:pPr>
      <w:r>
        <w:rPr>
          <w:sz w:val="24"/>
        </w:rPr>
        <w:t>NJDEP</w:t>
      </w:r>
      <w:r>
        <w:rPr>
          <w:sz w:val="24"/>
        </w:rPr>
        <w:tab/>
        <w:t>New Jersey Department of Environmental Protection</w:t>
      </w:r>
    </w:p>
    <w:p w:rsidR="00000000" w:rsidRDefault="00C40079">
      <w:pPr>
        <w:ind w:left="1440" w:hanging="1440"/>
        <w:rPr>
          <w:sz w:val="24"/>
        </w:rPr>
      </w:pPr>
      <w:r>
        <w:rPr>
          <w:sz w:val="24"/>
        </w:rPr>
        <w:t>NJR</w:t>
      </w:r>
      <w:r>
        <w:rPr>
          <w:sz w:val="24"/>
        </w:rPr>
        <w:tab/>
        <w:t>New Jersey Register</w:t>
      </w:r>
    </w:p>
    <w:p w:rsidR="00000000" w:rsidRDefault="00C40079">
      <w:pPr>
        <w:ind w:left="1440" w:hanging="1440"/>
        <w:rPr>
          <w:sz w:val="24"/>
        </w:rPr>
      </w:pPr>
      <w:r>
        <w:rPr>
          <w:sz w:val="24"/>
        </w:rPr>
        <w:t>NLEV</w:t>
      </w:r>
      <w:r>
        <w:rPr>
          <w:sz w:val="24"/>
        </w:rPr>
        <w:tab/>
        <w:t>National Low Emission Vehicle</w:t>
      </w:r>
    </w:p>
    <w:p w:rsidR="00000000" w:rsidRDefault="00C40079">
      <w:pPr>
        <w:ind w:left="1440" w:hanging="1440"/>
        <w:rPr>
          <w:sz w:val="24"/>
        </w:rPr>
      </w:pPr>
      <w:r>
        <w:rPr>
          <w:sz w:val="24"/>
        </w:rPr>
        <w:t>NNEM</w:t>
      </w:r>
      <w:r>
        <w:rPr>
          <w:sz w:val="24"/>
        </w:rPr>
        <w:tab/>
        <w:t>NONROAD Emission Model</w:t>
      </w:r>
    </w:p>
    <w:p w:rsidR="00000000" w:rsidRDefault="00C40079">
      <w:pPr>
        <w:ind w:left="1440" w:hanging="1440"/>
        <w:rPr>
          <w:sz w:val="24"/>
        </w:rPr>
      </w:pPr>
      <w:r>
        <w:rPr>
          <w:sz w:val="24"/>
        </w:rPr>
        <w:t>NO</w:t>
      </w:r>
      <w:r>
        <w:rPr>
          <w:sz w:val="24"/>
          <w:vertAlign w:val="subscript"/>
        </w:rPr>
        <w:t>x</w:t>
      </w:r>
      <w:r>
        <w:rPr>
          <w:sz w:val="24"/>
        </w:rPr>
        <w:tab/>
        <w:t>Oxides of Nitrogen</w:t>
      </w:r>
    </w:p>
    <w:p w:rsidR="00000000" w:rsidRDefault="00C40079">
      <w:pPr>
        <w:ind w:left="1440" w:hanging="1440"/>
        <w:rPr>
          <w:sz w:val="24"/>
        </w:rPr>
      </w:pPr>
      <w:r>
        <w:rPr>
          <w:sz w:val="24"/>
        </w:rPr>
        <w:t>PM</w:t>
      </w:r>
      <w:r>
        <w:rPr>
          <w:sz w:val="24"/>
          <w:vertAlign w:val="subscript"/>
        </w:rPr>
        <w:t>2.5</w:t>
      </w:r>
      <w:r>
        <w:rPr>
          <w:sz w:val="24"/>
        </w:rPr>
        <w:tab/>
        <w:t>Fine Particulate Matter (particles with an aerodynamic diameter l</w:t>
      </w:r>
      <w:r>
        <w:rPr>
          <w:sz w:val="24"/>
        </w:rPr>
        <w:t>ess than or equal to a nominal 2.5 micrometers)</w:t>
      </w:r>
    </w:p>
    <w:p w:rsidR="00000000" w:rsidRDefault="00C40079">
      <w:pPr>
        <w:ind w:left="1440" w:hanging="1440"/>
        <w:rPr>
          <w:sz w:val="24"/>
        </w:rPr>
      </w:pPr>
      <w:r>
        <w:rPr>
          <w:sz w:val="24"/>
        </w:rPr>
        <w:t>PM</w:t>
      </w:r>
      <w:r>
        <w:rPr>
          <w:sz w:val="24"/>
          <w:vertAlign w:val="subscript"/>
        </w:rPr>
        <w:t>10</w:t>
      </w:r>
      <w:r>
        <w:rPr>
          <w:sz w:val="24"/>
        </w:rPr>
        <w:tab/>
        <w:t>Particles with an aerodynamic diameter less than or equal to a nominal 10 micrometers</w:t>
      </w:r>
    </w:p>
    <w:p w:rsidR="00000000" w:rsidRDefault="00C40079">
      <w:pPr>
        <w:ind w:left="1440" w:hanging="1440"/>
        <w:rPr>
          <w:sz w:val="24"/>
        </w:rPr>
      </w:pPr>
      <w:r>
        <w:rPr>
          <w:sz w:val="24"/>
        </w:rPr>
        <w:t>PPSUITE</w:t>
      </w:r>
      <w:r>
        <w:rPr>
          <w:sz w:val="24"/>
        </w:rPr>
        <w:tab/>
        <w:t>Performance Evaluation and Emissions Analysis</w:t>
      </w:r>
    </w:p>
    <w:p w:rsidR="00000000" w:rsidRDefault="00C40079">
      <w:pPr>
        <w:ind w:left="1440" w:hanging="1440"/>
        <w:rPr>
          <w:sz w:val="24"/>
        </w:rPr>
      </w:pPr>
      <w:r>
        <w:rPr>
          <w:sz w:val="24"/>
        </w:rPr>
        <w:t>P.L.</w:t>
      </w:r>
      <w:r>
        <w:rPr>
          <w:sz w:val="24"/>
        </w:rPr>
        <w:tab/>
        <w:t>Public Law</w:t>
      </w:r>
    </w:p>
    <w:p w:rsidR="00000000" w:rsidRDefault="00C40079">
      <w:pPr>
        <w:ind w:left="1440" w:hanging="1440"/>
        <w:rPr>
          <w:sz w:val="24"/>
        </w:rPr>
      </w:pPr>
      <w:r>
        <w:rPr>
          <w:sz w:val="24"/>
        </w:rPr>
        <w:t>RACT</w:t>
      </w:r>
      <w:r>
        <w:rPr>
          <w:sz w:val="24"/>
        </w:rPr>
        <w:tab/>
        <w:t>Reasonably Available Control Technology</w:t>
      </w:r>
    </w:p>
    <w:p w:rsidR="00000000" w:rsidRDefault="00C40079">
      <w:pPr>
        <w:ind w:left="1440" w:hanging="1440"/>
        <w:rPr>
          <w:sz w:val="24"/>
        </w:rPr>
      </w:pPr>
      <w:r>
        <w:rPr>
          <w:sz w:val="24"/>
        </w:rPr>
        <w:t>RF</w:t>
      </w:r>
      <w:r>
        <w:rPr>
          <w:sz w:val="24"/>
        </w:rPr>
        <w:t>G</w:t>
      </w:r>
      <w:r>
        <w:rPr>
          <w:sz w:val="24"/>
        </w:rPr>
        <w:tab/>
        <w:t>Reformulated Gasoline</w:t>
      </w:r>
    </w:p>
    <w:p w:rsidR="00000000" w:rsidRDefault="00C40079">
      <w:pPr>
        <w:ind w:left="1440" w:hanging="1440"/>
        <w:rPr>
          <w:sz w:val="24"/>
        </w:rPr>
      </w:pPr>
      <w:r>
        <w:rPr>
          <w:sz w:val="24"/>
        </w:rPr>
        <w:t>RVP</w:t>
      </w:r>
      <w:r>
        <w:rPr>
          <w:sz w:val="24"/>
        </w:rPr>
        <w:tab/>
        <w:t>Reid Vapor Pressure</w:t>
      </w:r>
    </w:p>
    <w:p w:rsidR="00000000" w:rsidRDefault="00C40079">
      <w:pPr>
        <w:ind w:left="1440" w:hanging="1440"/>
        <w:rPr>
          <w:sz w:val="24"/>
        </w:rPr>
      </w:pPr>
      <w:r>
        <w:rPr>
          <w:sz w:val="24"/>
        </w:rPr>
        <w:t>SCC</w:t>
      </w:r>
      <w:r>
        <w:rPr>
          <w:sz w:val="24"/>
        </w:rPr>
        <w:tab/>
        <w:t>Source Classification Code</w:t>
      </w:r>
    </w:p>
    <w:p w:rsidR="00000000" w:rsidRDefault="00C40079">
      <w:pPr>
        <w:ind w:left="1440" w:hanging="1440"/>
        <w:rPr>
          <w:sz w:val="24"/>
        </w:rPr>
      </w:pPr>
      <w:r>
        <w:rPr>
          <w:sz w:val="24"/>
        </w:rPr>
        <w:t>SIP</w:t>
      </w:r>
      <w:r>
        <w:rPr>
          <w:sz w:val="24"/>
        </w:rPr>
        <w:tab/>
        <w:t>State Implementation Plan</w:t>
      </w:r>
    </w:p>
    <w:p w:rsidR="00000000" w:rsidRDefault="00C40079">
      <w:pPr>
        <w:ind w:left="1440" w:hanging="1440"/>
        <w:rPr>
          <w:sz w:val="24"/>
        </w:rPr>
      </w:pPr>
      <w:r>
        <w:rPr>
          <w:sz w:val="24"/>
        </w:rPr>
        <w:t>SMOKE</w:t>
      </w:r>
      <w:r>
        <w:rPr>
          <w:sz w:val="24"/>
        </w:rPr>
        <w:tab/>
        <w:t>Sparse Matrix Operator Kernel Emissions</w:t>
      </w:r>
    </w:p>
    <w:p w:rsidR="00000000" w:rsidRDefault="00C40079">
      <w:pPr>
        <w:ind w:left="1440" w:hanging="1440"/>
        <w:rPr>
          <w:sz w:val="24"/>
        </w:rPr>
      </w:pPr>
      <w:r>
        <w:rPr>
          <w:sz w:val="24"/>
        </w:rPr>
        <w:t>SO</w:t>
      </w:r>
      <w:r>
        <w:rPr>
          <w:sz w:val="24"/>
          <w:vertAlign w:val="subscript"/>
        </w:rPr>
        <w:t>2</w:t>
      </w:r>
      <w:r>
        <w:rPr>
          <w:sz w:val="24"/>
        </w:rPr>
        <w:tab/>
        <w:t>Sulfur Dioxide</w:t>
      </w:r>
    </w:p>
    <w:p w:rsidR="00000000" w:rsidRDefault="00C40079">
      <w:pPr>
        <w:ind w:left="1440" w:hanging="1440"/>
        <w:rPr>
          <w:sz w:val="24"/>
        </w:rPr>
      </w:pPr>
      <w:r>
        <w:rPr>
          <w:sz w:val="24"/>
        </w:rPr>
        <w:t>SO</w:t>
      </w:r>
      <w:r>
        <w:rPr>
          <w:sz w:val="24"/>
          <w:vertAlign w:val="subscript"/>
        </w:rPr>
        <w:t>x</w:t>
      </w:r>
      <w:r>
        <w:rPr>
          <w:sz w:val="24"/>
        </w:rPr>
        <w:tab/>
        <w:t>Oxides of Sulfur</w:t>
      </w:r>
    </w:p>
    <w:p w:rsidR="00000000" w:rsidRDefault="00C40079">
      <w:pPr>
        <w:ind w:left="1440" w:hanging="1440"/>
        <w:rPr>
          <w:sz w:val="24"/>
        </w:rPr>
      </w:pPr>
      <w:r>
        <w:rPr>
          <w:sz w:val="24"/>
        </w:rPr>
        <w:t>U.S.C.</w:t>
      </w:r>
      <w:r>
        <w:rPr>
          <w:sz w:val="24"/>
        </w:rPr>
        <w:tab/>
        <w:t>United States Code</w:t>
      </w:r>
    </w:p>
    <w:p w:rsidR="00000000" w:rsidRDefault="00C40079">
      <w:pPr>
        <w:ind w:left="1440" w:hanging="1440"/>
        <w:rPr>
          <w:sz w:val="24"/>
        </w:rPr>
      </w:pPr>
      <w:r>
        <w:rPr>
          <w:sz w:val="24"/>
        </w:rPr>
        <w:t>USEPA</w:t>
      </w:r>
      <w:r>
        <w:rPr>
          <w:sz w:val="24"/>
        </w:rPr>
        <w:tab/>
        <w:t>United States Environmental P</w:t>
      </w:r>
      <w:r>
        <w:rPr>
          <w:sz w:val="24"/>
        </w:rPr>
        <w:t>rotection Agency</w:t>
      </w:r>
    </w:p>
    <w:p w:rsidR="00000000" w:rsidRDefault="00C40079">
      <w:pPr>
        <w:ind w:left="1440" w:hanging="1440"/>
        <w:rPr>
          <w:sz w:val="24"/>
        </w:rPr>
      </w:pPr>
      <w:r>
        <w:rPr>
          <w:sz w:val="24"/>
        </w:rPr>
        <w:t>VOCs</w:t>
      </w:r>
      <w:r>
        <w:rPr>
          <w:sz w:val="24"/>
        </w:rPr>
        <w:tab/>
        <w:t>Volatile Organic Compounds</w:t>
      </w:r>
    </w:p>
    <w:p w:rsidR="00000000" w:rsidRDefault="00C40079">
      <w:pPr>
        <w:tabs>
          <w:tab w:val="left" w:pos="720"/>
          <w:tab w:val="left" w:pos="1080"/>
          <w:tab w:val="left" w:pos="1440"/>
          <w:tab w:val="left" w:pos="1800"/>
          <w:tab w:val="left" w:pos="2160"/>
        </w:tabs>
        <w:jc w:val="center"/>
        <w:rPr>
          <w:b/>
          <w:sz w:val="24"/>
        </w:rPr>
      </w:pPr>
      <w:r>
        <w:rPr>
          <w:b/>
          <w:sz w:val="24"/>
        </w:rPr>
        <w:br w:type="page"/>
      </w:r>
      <w:bookmarkStart w:id="67" w:name="Exec_Sum"/>
      <w:bookmarkStart w:id="68" w:name="_Hlt126633565"/>
      <w:bookmarkEnd w:id="68"/>
      <w:r>
        <w:rPr>
          <w:b/>
          <w:sz w:val="24"/>
        </w:rPr>
        <w:lastRenderedPageBreak/>
        <w:t>Executive Summary</w:t>
      </w:r>
      <w:bookmarkEnd w:id="67"/>
    </w:p>
    <w:p w:rsidR="00000000" w:rsidRDefault="00C40079">
      <w:pPr>
        <w:tabs>
          <w:tab w:val="left" w:pos="720"/>
          <w:tab w:val="left" w:pos="1080"/>
          <w:tab w:val="left" w:pos="1440"/>
          <w:tab w:val="left" w:pos="1800"/>
          <w:tab w:val="left" w:pos="2160"/>
        </w:tabs>
        <w:rPr>
          <w:sz w:val="24"/>
        </w:rPr>
      </w:pPr>
    </w:p>
    <w:p w:rsidR="00000000" w:rsidRDefault="00C40079">
      <w:pPr>
        <w:tabs>
          <w:tab w:val="left" w:pos="720"/>
          <w:tab w:val="left" w:pos="1080"/>
          <w:tab w:val="left" w:pos="1440"/>
          <w:tab w:val="left" w:pos="1800"/>
          <w:tab w:val="left" w:pos="2160"/>
        </w:tabs>
        <w:rPr>
          <w:sz w:val="24"/>
        </w:rPr>
      </w:pPr>
    </w:p>
    <w:p w:rsidR="00000000" w:rsidRDefault="00C40079">
      <w:pPr>
        <w:tabs>
          <w:tab w:val="left" w:pos="720"/>
          <w:tab w:val="left" w:pos="1080"/>
          <w:tab w:val="left" w:pos="1440"/>
          <w:tab w:val="left" w:pos="1800"/>
          <w:tab w:val="left" w:pos="2160"/>
        </w:tabs>
        <w:rPr>
          <w:sz w:val="24"/>
        </w:rPr>
      </w:pPr>
      <w:r>
        <w:rPr>
          <w:sz w:val="24"/>
        </w:rPr>
        <w:t>The State of New Jersey is proposing several revisions to its State Implementation Plans (SIPs) governing the National Ambient Air Quality Standards (NAAQS) for carbon monoxide, ozone, a</w:t>
      </w:r>
      <w:r>
        <w:rPr>
          <w:sz w:val="24"/>
        </w:rPr>
        <w:t>nd fine particulate matter.  Specifically, New Jersey is proposing the following:</w:t>
      </w:r>
    </w:p>
    <w:p w:rsidR="00000000" w:rsidRDefault="00C40079">
      <w:pPr>
        <w:tabs>
          <w:tab w:val="left" w:pos="720"/>
          <w:tab w:val="left" w:pos="1080"/>
          <w:tab w:val="left" w:pos="1440"/>
          <w:tab w:val="left" w:pos="1800"/>
          <w:tab w:val="left" w:pos="2160"/>
        </w:tabs>
        <w:rPr>
          <w:sz w:val="24"/>
        </w:rPr>
      </w:pPr>
    </w:p>
    <w:p w:rsidR="00000000" w:rsidRDefault="00C40079">
      <w:pPr>
        <w:numPr>
          <w:ilvl w:val="0"/>
          <w:numId w:val="3"/>
        </w:numPr>
        <w:tabs>
          <w:tab w:val="clear" w:pos="360"/>
          <w:tab w:val="left" w:pos="720"/>
          <w:tab w:val="left" w:pos="1080"/>
          <w:tab w:val="left" w:pos="1440"/>
          <w:tab w:val="left" w:pos="1800"/>
          <w:tab w:val="left" w:pos="2160"/>
        </w:tabs>
        <w:ind w:left="720"/>
        <w:rPr>
          <w:snapToGrid w:val="0"/>
          <w:sz w:val="24"/>
        </w:rPr>
      </w:pPr>
      <w:r>
        <w:rPr>
          <w:sz w:val="24"/>
        </w:rPr>
        <w:t xml:space="preserve">Revised transportation conformity emission budgets consisting of a 1-Hour Ozone and Carbon Monoxide Budget for Northern New Jersey and an amendment to the McGuire Air Force </w:t>
      </w:r>
      <w:r>
        <w:rPr>
          <w:sz w:val="24"/>
        </w:rPr>
        <w:t>Base General Conformity Budget;</w:t>
      </w:r>
    </w:p>
    <w:p w:rsidR="00000000" w:rsidRDefault="00C40079">
      <w:pPr>
        <w:numPr>
          <w:ilvl w:val="0"/>
          <w:numId w:val="3"/>
        </w:numPr>
        <w:tabs>
          <w:tab w:val="clear" w:pos="360"/>
          <w:tab w:val="left" w:pos="720"/>
          <w:tab w:val="left" w:pos="1080"/>
          <w:tab w:val="left" w:pos="1440"/>
          <w:tab w:val="left" w:pos="1800"/>
          <w:tab w:val="left" w:pos="2160"/>
        </w:tabs>
        <w:ind w:left="720"/>
        <w:rPr>
          <w:sz w:val="24"/>
        </w:rPr>
      </w:pPr>
      <w:r>
        <w:rPr>
          <w:sz w:val="24"/>
        </w:rPr>
        <w:t>New transportation conformity emission budgets consisting of a Fine Particulate Matter Budget for Northern New Jersey;</w:t>
      </w:r>
    </w:p>
    <w:p w:rsidR="00000000" w:rsidRDefault="00C40079">
      <w:pPr>
        <w:numPr>
          <w:ilvl w:val="0"/>
          <w:numId w:val="3"/>
        </w:numPr>
        <w:tabs>
          <w:tab w:val="clear" w:pos="360"/>
          <w:tab w:val="left" w:pos="720"/>
          <w:tab w:val="left" w:pos="1080"/>
          <w:tab w:val="left" w:pos="1440"/>
          <w:tab w:val="left" w:pos="1800"/>
          <w:tab w:val="left" w:pos="2160"/>
        </w:tabs>
        <w:ind w:left="720"/>
        <w:rPr>
          <w:sz w:val="24"/>
        </w:rPr>
      </w:pPr>
      <w:r>
        <w:rPr>
          <w:snapToGrid w:val="0"/>
          <w:sz w:val="24"/>
        </w:rPr>
        <w:t>The second ten-year Carbon Monoxide Limited Maintenance Plan for Camden County and the nine not classifie</w:t>
      </w:r>
      <w:r>
        <w:rPr>
          <w:snapToGrid w:val="0"/>
          <w:sz w:val="24"/>
        </w:rPr>
        <w:t>d maintenance areas; and,</w:t>
      </w:r>
    </w:p>
    <w:p w:rsidR="00000000" w:rsidRDefault="00C40079">
      <w:pPr>
        <w:numPr>
          <w:ilvl w:val="0"/>
          <w:numId w:val="3"/>
        </w:numPr>
        <w:tabs>
          <w:tab w:val="clear" w:pos="360"/>
          <w:tab w:val="left" w:pos="720"/>
          <w:tab w:val="left" w:pos="1080"/>
          <w:tab w:val="left" w:pos="1440"/>
          <w:tab w:val="left" w:pos="1800"/>
          <w:tab w:val="left" w:pos="2160"/>
        </w:tabs>
        <w:ind w:left="720"/>
        <w:rPr>
          <w:sz w:val="24"/>
        </w:rPr>
      </w:pPr>
      <w:r>
        <w:rPr>
          <w:snapToGrid w:val="0"/>
          <w:sz w:val="24"/>
        </w:rPr>
        <w:t>New Jersey’s 2002 periodic emission inventory.</w:t>
      </w:r>
    </w:p>
    <w:p w:rsidR="00000000" w:rsidRDefault="00C40079">
      <w:pPr>
        <w:pStyle w:val="Level2"/>
        <w:widowControl/>
        <w:tabs>
          <w:tab w:val="left" w:pos="720"/>
          <w:tab w:val="left" w:pos="1080"/>
          <w:tab w:val="left" w:pos="1440"/>
          <w:tab w:val="left" w:pos="1800"/>
          <w:tab w:val="left" w:pos="2160"/>
        </w:tabs>
        <w:rPr>
          <w:snapToGrid w:val="0"/>
        </w:rPr>
      </w:pPr>
    </w:p>
    <w:p w:rsidR="00000000" w:rsidRDefault="00C40079">
      <w:pPr>
        <w:pStyle w:val="Level2"/>
        <w:widowControl/>
        <w:tabs>
          <w:tab w:val="left" w:pos="720"/>
          <w:tab w:val="left" w:pos="1080"/>
          <w:tab w:val="left" w:pos="1440"/>
          <w:tab w:val="left" w:pos="1800"/>
          <w:tab w:val="left" w:pos="2160"/>
        </w:tabs>
        <w:rPr>
          <w:snapToGrid w:val="0"/>
        </w:rPr>
      </w:pPr>
    </w:p>
    <w:p w:rsidR="00000000" w:rsidRDefault="00C40079">
      <w:pPr>
        <w:tabs>
          <w:tab w:val="left" w:pos="720"/>
          <w:tab w:val="left" w:pos="1080"/>
          <w:tab w:val="left" w:pos="1440"/>
          <w:tab w:val="left" w:pos="1800"/>
          <w:tab w:val="left" w:pos="2160"/>
        </w:tabs>
        <w:rPr>
          <w:sz w:val="24"/>
        </w:rPr>
      </w:pPr>
      <w:r>
        <w:rPr>
          <w:sz w:val="24"/>
          <w:u w:val="single"/>
        </w:rPr>
        <w:t>1-Hour Ozone 2005/2007 Budgets and Carbon Monoxide 2007/2014 Budgets for Northern New Jersey</w:t>
      </w:r>
      <w:r>
        <w:rPr>
          <w:sz w:val="24"/>
        </w:rPr>
        <w:t>:</w:t>
      </w:r>
    </w:p>
    <w:p w:rsidR="00000000" w:rsidRDefault="00C40079">
      <w:pPr>
        <w:tabs>
          <w:tab w:val="left" w:pos="720"/>
          <w:tab w:val="left" w:pos="1080"/>
          <w:tab w:val="left" w:pos="1440"/>
          <w:tab w:val="left" w:pos="1800"/>
          <w:tab w:val="left" w:pos="2160"/>
        </w:tabs>
        <w:rPr>
          <w:sz w:val="24"/>
        </w:rPr>
      </w:pPr>
    </w:p>
    <w:p w:rsidR="00000000" w:rsidRDefault="00C40079">
      <w:pPr>
        <w:tabs>
          <w:tab w:val="left" w:pos="720"/>
          <w:tab w:val="left" w:pos="1080"/>
          <w:tab w:val="left" w:pos="1440"/>
          <w:tab w:val="left" w:pos="1800"/>
          <w:tab w:val="left" w:pos="2160"/>
        </w:tabs>
        <w:rPr>
          <w:sz w:val="24"/>
        </w:rPr>
      </w:pPr>
      <w:r>
        <w:rPr>
          <w:sz w:val="24"/>
        </w:rPr>
        <w:t>New Jersey is proposing updated volatile organic compounds (VOCs) and oxides of nitrog</w:t>
      </w:r>
      <w:r>
        <w:rPr>
          <w:sz w:val="24"/>
        </w:rPr>
        <w:t>en (NO</w:t>
      </w:r>
      <w:r>
        <w:rPr>
          <w:sz w:val="24"/>
          <w:vertAlign w:val="subscript"/>
        </w:rPr>
        <w:t>x</w:t>
      </w:r>
      <w:r>
        <w:rPr>
          <w:sz w:val="24"/>
        </w:rPr>
        <w:t>)</w:t>
      </w:r>
      <w:r>
        <w:rPr>
          <w:sz w:val="24"/>
          <w:vertAlign w:val="subscript"/>
        </w:rPr>
        <w:t xml:space="preserve"> </w:t>
      </w:r>
      <w:r>
        <w:rPr>
          <w:sz w:val="24"/>
        </w:rPr>
        <w:t>transportation conformity emission budgets that incorporate new data that will be required for use in future conformity determinations for New Jersey.  The proposed updates to the budgets are being proposed because of significant changes in planni</w:t>
      </w:r>
      <w:r>
        <w:rPr>
          <w:sz w:val="24"/>
        </w:rPr>
        <w:t>ng assumptions involving vehicle miles traveled predictions, vehicle age distributions, and the latest allocation of vehicle miles traveled to the various vehicle types in the North Jersey Transportation Planning Authority area. An analysis was performed t</w:t>
      </w:r>
      <w:r>
        <w:rPr>
          <w:sz w:val="24"/>
        </w:rPr>
        <w:t xml:space="preserve">hat compares these updated budgets to the budgets that represented the attainment demonstration for the 1-hour ozone standard.  This analysis demonstrates that the updated budgets continue to support predicted achievement of rate of progress and projected </w:t>
      </w:r>
      <w:r>
        <w:rPr>
          <w:sz w:val="24"/>
        </w:rPr>
        <w:t>attainment of the 1-hour ozone NAAQS for the New Jersey portion of the New York City/Northern New Jersey/Long Island nonattainment area by the attainment date of 2007.</w:t>
      </w:r>
    </w:p>
    <w:p w:rsidR="00000000" w:rsidRDefault="00C40079">
      <w:pPr>
        <w:tabs>
          <w:tab w:val="left" w:pos="720"/>
          <w:tab w:val="left" w:pos="1080"/>
          <w:tab w:val="left" w:pos="1440"/>
          <w:tab w:val="left" w:pos="1800"/>
          <w:tab w:val="left" w:pos="2160"/>
        </w:tabs>
        <w:rPr>
          <w:sz w:val="24"/>
        </w:rPr>
      </w:pPr>
    </w:p>
    <w:p w:rsidR="00000000" w:rsidRDefault="00C40079">
      <w:pPr>
        <w:tabs>
          <w:tab w:val="left" w:pos="720"/>
          <w:tab w:val="left" w:pos="1080"/>
          <w:tab w:val="left" w:pos="1440"/>
          <w:tab w:val="left" w:pos="1800"/>
          <w:tab w:val="left" w:pos="2160"/>
        </w:tabs>
        <w:rPr>
          <w:sz w:val="24"/>
        </w:rPr>
      </w:pPr>
      <w:r>
        <w:rPr>
          <w:sz w:val="24"/>
        </w:rPr>
        <w:t>All 21 New Jersey counties are designated as moderate nonattainment for the 8-hour ozon</w:t>
      </w:r>
      <w:r>
        <w:rPr>
          <w:sz w:val="24"/>
        </w:rPr>
        <w:t>e NAAQS by the United States Environmental Protection Agency (USEPA). The 1-hour ozone NAAQS was revoked on June 15, 2005.  The attainment demonstration SIP for the 8-hour ozone NAAQS is not due until June 2007.  The USEPA has established that prior to the</w:t>
      </w:r>
      <w:r>
        <w:rPr>
          <w:sz w:val="24"/>
        </w:rPr>
        <w:t xml:space="preserve"> establishment of 8-hour budgets, the use of 1-hour budgets ensures that air quality progress to date is maintained. The USEPA also contends that even after the 1-hour NAAQS was revoked, the 1-hour budgets continue to be part of a nonattainment area’s SIP </w:t>
      </w:r>
      <w:r>
        <w:rPr>
          <w:sz w:val="24"/>
        </w:rPr>
        <w:t>and are therefore appropriate to use as proxies for the 8-hour standard.</w:t>
      </w:r>
      <w:r>
        <w:rPr>
          <w:rStyle w:val="FootnoteReference"/>
          <w:vertAlign w:val="superscript"/>
        </w:rPr>
        <w:footnoteReference w:id="1"/>
      </w:r>
    </w:p>
    <w:p w:rsidR="00000000" w:rsidRDefault="00C40079">
      <w:pPr>
        <w:tabs>
          <w:tab w:val="left" w:pos="720"/>
          <w:tab w:val="left" w:pos="1080"/>
          <w:tab w:val="left" w:pos="1440"/>
          <w:tab w:val="left" w:pos="1800"/>
          <w:tab w:val="left" w:pos="2160"/>
        </w:tabs>
        <w:ind w:firstLine="720"/>
        <w:rPr>
          <w:sz w:val="24"/>
        </w:rPr>
      </w:pPr>
    </w:p>
    <w:p w:rsidR="00000000" w:rsidRDefault="00C40079">
      <w:pPr>
        <w:pStyle w:val="Level2"/>
        <w:widowControl/>
        <w:tabs>
          <w:tab w:val="left" w:pos="720"/>
          <w:tab w:val="left" w:pos="1080"/>
          <w:tab w:val="left" w:pos="1440"/>
          <w:tab w:val="left" w:pos="1800"/>
          <w:tab w:val="left" w:pos="2160"/>
        </w:tabs>
      </w:pPr>
      <w:r>
        <w:t>The updated transportation conformity emission budgets are provided in Table ES1.  Table ES2 contains a comparison of the updated transportation conformity emission budgets with pri</w:t>
      </w:r>
      <w:r>
        <w:t xml:space="preserve">or </w:t>
      </w:r>
      <w:r>
        <w:lastRenderedPageBreak/>
        <w:t xml:space="preserve">budgets.  The updated budgets supersede the prior budgets and must be used for future transportation conformity determinations by the North Jersey Transportation Planning Authority Metropolitan Planning Organization once approved by the USEPA. </w:t>
      </w:r>
    </w:p>
    <w:p w:rsidR="00000000" w:rsidRDefault="00C40079">
      <w:pPr>
        <w:tabs>
          <w:tab w:val="left" w:pos="720"/>
          <w:tab w:val="left" w:pos="1080"/>
          <w:tab w:val="left" w:pos="1440"/>
          <w:tab w:val="left" w:pos="1800"/>
          <w:tab w:val="left" w:pos="2160"/>
        </w:tabs>
        <w:rPr>
          <w:sz w:val="24"/>
        </w:rPr>
      </w:pPr>
    </w:p>
    <w:p w:rsidR="00000000" w:rsidRDefault="00C40079">
      <w:pPr>
        <w:tabs>
          <w:tab w:val="left" w:pos="720"/>
          <w:tab w:val="left" w:pos="1080"/>
          <w:tab w:val="left" w:pos="1440"/>
          <w:tab w:val="left" w:pos="1800"/>
          <w:tab w:val="left" w:pos="2160"/>
        </w:tabs>
        <w:rPr>
          <w:sz w:val="24"/>
        </w:rPr>
      </w:pPr>
    </w:p>
    <w:p w:rsidR="00000000" w:rsidRDefault="00C40079">
      <w:pPr>
        <w:pStyle w:val="BodyText2"/>
        <w:tabs>
          <w:tab w:val="left" w:pos="720"/>
          <w:tab w:val="left" w:pos="1080"/>
          <w:tab w:val="left" w:pos="1440"/>
          <w:tab w:val="left" w:pos="1800"/>
          <w:tab w:val="left" w:pos="2160"/>
        </w:tabs>
      </w:pPr>
      <w:bookmarkStart w:id="69" w:name="Table_ES1"/>
      <w:bookmarkStart w:id="70" w:name="_Hlt126641710"/>
      <w:bookmarkEnd w:id="70"/>
      <w:r>
        <w:t xml:space="preserve">Table </w:t>
      </w:r>
      <w:r>
        <w:t>ES1</w:t>
      </w:r>
      <w:bookmarkEnd w:id="69"/>
    </w:p>
    <w:p w:rsidR="00000000" w:rsidRDefault="00C40079">
      <w:pPr>
        <w:pStyle w:val="BodyText2"/>
        <w:tabs>
          <w:tab w:val="left" w:pos="720"/>
          <w:tab w:val="left" w:pos="1080"/>
          <w:tab w:val="left" w:pos="1440"/>
          <w:tab w:val="left" w:pos="1800"/>
          <w:tab w:val="left" w:pos="2160"/>
        </w:tabs>
      </w:pPr>
      <w:r>
        <w:t xml:space="preserve">Proposed Updated Carbon Monoxide and 1-Hour Ozone </w:t>
      </w:r>
    </w:p>
    <w:p w:rsidR="00000000" w:rsidRDefault="00C40079">
      <w:pPr>
        <w:pStyle w:val="BodyText2"/>
        <w:tabs>
          <w:tab w:val="left" w:pos="720"/>
          <w:tab w:val="left" w:pos="1080"/>
          <w:tab w:val="left" w:pos="1440"/>
          <w:tab w:val="left" w:pos="1800"/>
          <w:tab w:val="left" w:pos="2160"/>
        </w:tabs>
      </w:pPr>
      <w:r>
        <w:t>Transportation Conformity Emission Budgets</w:t>
      </w:r>
    </w:p>
    <w:p w:rsidR="00000000" w:rsidRDefault="00C40079">
      <w:pPr>
        <w:tabs>
          <w:tab w:val="left" w:pos="720"/>
          <w:tab w:val="left" w:pos="1080"/>
          <w:tab w:val="left" w:pos="1440"/>
          <w:tab w:val="left" w:pos="1800"/>
          <w:tab w:val="left" w:pos="2160"/>
        </w:tabs>
        <w:jc w:val="center"/>
        <w:rPr>
          <w:b/>
          <w:sz w:val="24"/>
        </w:rPr>
      </w:pPr>
    </w:p>
    <w:tbl>
      <w:tblPr>
        <w:tblW w:w="0" w:type="auto"/>
        <w:tblInd w:w="-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00" w:firstRow="0" w:lastRow="0" w:firstColumn="0" w:lastColumn="0" w:noHBand="0" w:noVBand="0"/>
      </w:tblPr>
      <w:tblGrid>
        <w:gridCol w:w="2970"/>
        <w:gridCol w:w="1080"/>
        <w:gridCol w:w="1080"/>
        <w:gridCol w:w="900"/>
        <w:gridCol w:w="1260"/>
        <w:gridCol w:w="1080"/>
        <w:gridCol w:w="1260"/>
        <w:gridCol w:w="990"/>
      </w:tblGrid>
      <w:tr w:rsidR="00000000">
        <w:tblPrEx>
          <w:tblCellMar>
            <w:top w:w="0" w:type="dxa"/>
            <w:bottom w:w="0" w:type="dxa"/>
          </w:tblCellMar>
        </w:tblPrEx>
        <w:trPr>
          <w:cantSplit/>
          <w:trHeight w:val="486"/>
        </w:trPr>
        <w:tc>
          <w:tcPr>
            <w:tcW w:w="2970" w:type="dxa"/>
            <w:vMerge w:val="restart"/>
            <w:tcBorders>
              <w:top w:val="double" w:sz="4" w:space="0" w:color="auto"/>
              <w:left w:val="double" w:sz="4" w:space="0" w:color="auto"/>
              <w:bottom w:val="double" w:sz="4" w:space="0" w:color="auto"/>
              <w:right w:val="double" w:sz="4" w:space="0" w:color="auto"/>
            </w:tcBorders>
            <w:shd w:val="pct20" w:color="auto" w:fill="FFFFFF"/>
            <w:vAlign w:val="center"/>
          </w:tcPr>
          <w:p w:rsidR="00000000" w:rsidRDefault="00C40079">
            <w:pPr>
              <w:tabs>
                <w:tab w:val="left" w:pos="360"/>
                <w:tab w:val="left" w:pos="720"/>
                <w:tab w:val="left" w:pos="1080"/>
                <w:tab w:val="left" w:pos="1440"/>
                <w:tab w:val="left" w:pos="1800"/>
                <w:tab w:val="left" w:pos="2160"/>
              </w:tabs>
              <w:jc w:val="center"/>
              <w:rPr>
                <w:b/>
                <w:sz w:val="24"/>
              </w:rPr>
            </w:pPr>
            <w:r>
              <w:rPr>
                <w:b/>
                <w:sz w:val="24"/>
              </w:rPr>
              <w:t>Transportation</w:t>
            </w:r>
          </w:p>
          <w:p w:rsidR="00000000" w:rsidRDefault="00C40079">
            <w:pPr>
              <w:tabs>
                <w:tab w:val="left" w:pos="360"/>
                <w:tab w:val="left" w:pos="720"/>
                <w:tab w:val="left" w:pos="1080"/>
                <w:tab w:val="left" w:pos="1440"/>
                <w:tab w:val="left" w:pos="1800"/>
                <w:tab w:val="left" w:pos="2160"/>
              </w:tabs>
              <w:jc w:val="center"/>
              <w:rPr>
                <w:b/>
                <w:sz w:val="24"/>
              </w:rPr>
            </w:pPr>
            <w:r>
              <w:rPr>
                <w:b/>
                <w:sz w:val="24"/>
              </w:rPr>
              <w:t>Planning Area</w:t>
            </w:r>
          </w:p>
        </w:tc>
        <w:tc>
          <w:tcPr>
            <w:tcW w:w="3060" w:type="dxa"/>
            <w:gridSpan w:val="3"/>
            <w:tcBorders>
              <w:top w:val="double" w:sz="4" w:space="0" w:color="auto"/>
              <w:left w:val="nil"/>
              <w:bottom w:val="nil"/>
              <w:right w:val="double" w:sz="4" w:space="0" w:color="auto"/>
            </w:tcBorders>
            <w:shd w:val="pct20" w:color="auto" w:fill="FFFFFF"/>
          </w:tcPr>
          <w:p w:rsidR="00000000" w:rsidRDefault="00C40079">
            <w:pPr>
              <w:tabs>
                <w:tab w:val="left" w:pos="360"/>
                <w:tab w:val="left" w:pos="720"/>
                <w:tab w:val="left" w:pos="1080"/>
                <w:tab w:val="left" w:pos="1440"/>
                <w:tab w:val="left" w:pos="1800"/>
                <w:tab w:val="left" w:pos="2160"/>
              </w:tabs>
              <w:jc w:val="center"/>
              <w:rPr>
                <w:b/>
                <w:sz w:val="24"/>
              </w:rPr>
            </w:pPr>
            <w:r>
              <w:rPr>
                <w:b/>
                <w:sz w:val="24"/>
              </w:rPr>
              <w:t>Carbon Monoxide  Emissions</w:t>
            </w:r>
            <w:r>
              <w:rPr>
                <w:b/>
                <w:sz w:val="24"/>
                <w:vertAlign w:val="superscript"/>
              </w:rPr>
              <w:t>(1)</w:t>
            </w:r>
          </w:p>
          <w:p w:rsidR="00000000" w:rsidRDefault="00C40079">
            <w:pPr>
              <w:pStyle w:val="FigureHeads"/>
              <w:tabs>
                <w:tab w:val="left" w:pos="360"/>
                <w:tab w:val="left" w:pos="720"/>
                <w:tab w:val="left" w:pos="1080"/>
                <w:tab w:val="left" w:pos="1440"/>
                <w:tab w:val="left" w:pos="1800"/>
                <w:tab w:val="left" w:pos="2160"/>
              </w:tabs>
              <w:rPr>
                <w:snapToGrid/>
              </w:rPr>
            </w:pPr>
            <w:r>
              <w:rPr>
                <w:snapToGrid/>
              </w:rPr>
              <w:t>(tons per winter day)</w:t>
            </w:r>
          </w:p>
        </w:tc>
        <w:tc>
          <w:tcPr>
            <w:tcW w:w="2340" w:type="dxa"/>
            <w:gridSpan w:val="2"/>
            <w:tcBorders>
              <w:top w:val="double" w:sz="4" w:space="0" w:color="auto"/>
              <w:left w:val="nil"/>
              <w:bottom w:val="nil"/>
              <w:right w:val="double" w:sz="4" w:space="0" w:color="auto"/>
            </w:tcBorders>
            <w:shd w:val="pct20" w:color="auto" w:fill="FFFFFF"/>
          </w:tcPr>
          <w:p w:rsidR="00000000" w:rsidRDefault="00C40079">
            <w:pPr>
              <w:tabs>
                <w:tab w:val="left" w:pos="360"/>
                <w:tab w:val="left" w:pos="720"/>
                <w:tab w:val="left" w:pos="1080"/>
                <w:tab w:val="left" w:pos="1440"/>
                <w:tab w:val="left" w:pos="1800"/>
                <w:tab w:val="left" w:pos="2160"/>
              </w:tabs>
              <w:jc w:val="center"/>
              <w:rPr>
                <w:b/>
                <w:sz w:val="24"/>
              </w:rPr>
            </w:pPr>
            <w:r>
              <w:rPr>
                <w:b/>
                <w:sz w:val="24"/>
              </w:rPr>
              <w:t>VOC Emissions</w:t>
            </w:r>
            <w:r>
              <w:rPr>
                <w:b/>
                <w:sz w:val="24"/>
                <w:vertAlign w:val="superscript"/>
              </w:rPr>
              <w:t>(2)</w:t>
            </w:r>
          </w:p>
          <w:p w:rsidR="00000000" w:rsidRDefault="00C40079">
            <w:pPr>
              <w:tabs>
                <w:tab w:val="left" w:pos="360"/>
                <w:tab w:val="left" w:pos="720"/>
                <w:tab w:val="left" w:pos="1080"/>
                <w:tab w:val="left" w:pos="1440"/>
                <w:tab w:val="left" w:pos="1800"/>
                <w:tab w:val="left" w:pos="2160"/>
              </w:tabs>
              <w:jc w:val="center"/>
              <w:rPr>
                <w:b/>
                <w:sz w:val="24"/>
              </w:rPr>
            </w:pPr>
            <w:r>
              <w:rPr>
                <w:b/>
                <w:sz w:val="24"/>
              </w:rPr>
              <w:t>(tons per ozone day)</w:t>
            </w:r>
          </w:p>
        </w:tc>
        <w:tc>
          <w:tcPr>
            <w:tcW w:w="2250" w:type="dxa"/>
            <w:gridSpan w:val="2"/>
            <w:tcBorders>
              <w:top w:val="double" w:sz="4" w:space="0" w:color="auto"/>
              <w:left w:val="nil"/>
              <w:bottom w:val="nil"/>
              <w:right w:val="double" w:sz="4" w:space="0" w:color="auto"/>
            </w:tcBorders>
            <w:shd w:val="pct20" w:color="auto" w:fill="FFFFFF"/>
          </w:tcPr>
          <w:p w:rsidR="00000000" w:rsidRDefault="00C40079">
            <w:pPr>
              <w:tabs>
                <w:tab w:val="left" w:pos="360"/>
                <w:tab w:val="left" w:pos="720"/>
                <w:tab w:val="left" w:pos="1080"/>
                <w:tab w:val="left" w:pos="1440"/>
                <w:tab w:val="left" w:pos="1800"/>
                <w:tab w:val="left" w:pos="2160"/>
              </w:tabs>
              <w:jc w:val="center"/>
              <w:rPr>
                <w:b/>
                <w:sz w:val="24"/>
              </w:rPr>
            </w:pPr>
            <w:r>
              <w:rPr>
                <w:b/>
                <w:sz w:val="24"/>
              </w:rPr>
              <w:t>NO</w:t>
            </w:r>
            <w:r>
              <w:rPr>
                <w:b/>
                <w:sz w:val="24"/>
                <w:vertAlign w:val="subscript"/>
              </w:rPr>
              <w:t>x</w:t>
            </w:r>
            <w:r>
              <w:rPr>
                <w:b/>
                <w:sz w:val="24"/>
              </w:rPr>
              <w:t xml:space="preserve"> Emissions</w:t>
            </w:r>
            <w:r>
              <w:rPr>
                <w:sz w:val="24"/>
                <w:vertAlign w:val="superscript"/>
              </w:rPr>
              <w:t>(</w:t>
            </w:r>
            <w:r>
              <w:rPr>
                <w:b/>
                <w:sz w:val="24"/>
                <w:vertAlign w:val="superscript"/>
              </w:rPr>
              <w:t>2)</w:t>
            </w:r>
          </w:p>
          <w:p w:rsidR="00000000" w:rsidRDefault="00C40079">
            <w:pPr>
              <w:tabs>
                <w:tab w:val="left" w:pos="360"/>
                <w:tab w:val="left" w:pos="720"/>
                <w:tab w:val="left" w:pos="1080"/>
                <w:tab w:val="left" w:pos="1440"/>
                <w:tab w:val="left" w:pos="1800"/>
                <w:tab w:val="left" w:pos="2160"/>
              </w:tabs>
              <w:jc w:val="center"/>
              <w:rPr>
                <w:b/>
                <w:sz w:val="24"/>
              </w:rPr>
            </w:pPr>
            <w:r>
              <w:rPr>
                <w:b/>
                <w:sz w:val="24"/>
              </w:rPr>
              <w:t>(tons per ozone day)</w:t>
            </w:r>
          </w:p>
        </w:tc>
      </w:tr>
      <w:tr w:rsidR="00000000">
        <w:tblPrEx>
          <w:tblCellMar>
            <w:top w:w="0" w:type="dxa"/>
            <w:bottom w:w="0" w:type="dxa"/>
          </w:tblCellMar>
        </w:tblPrEx>
        <w:trPr>
          <w:cantSplit/>
          <w:trHeight w:val="318"/>
        </w:trPr>
        <w:tc>
          <w:tcPr>
            <w:tcW w:w="2970" w:type="dxa"/>
            <w:vMerge/>
            <w:tcBorders>
              <w:top w:val="double" w:sz="4" w:space="0" w:color="auto"/>
              <w:left w:val="double" w:sz="4" w:space="0" w:color="auto"/>
              <w:bottom w:val="nil"/>
              <w:right w:val="double" w:sz="4" w:space="0" w:color="auto"/>
            </w:tcBorders>
            <w:vAlign w:val="center"/>
          </w:tcPr>
          <w:p w:rsidR="00000000" w:rsidRDefault="00C40079">
            <w:pPr>
              <w:tabs>
                <w:tab w:val="left" w:pos="360"/>
                <w:tab w:val="left" w:pos="720"/>
                <w:tab w:val="left" w:pos="1080"/>
                <w:tab w:val="left" w:pos="1440"/>
                <w:tab w:val="left" w:pos="1800"/>
                <w:tab w:val="left" w:pos="2160"/>
              </w:tabs>
              <w:jc w:val="center"/>
              <w:rPr>
                <w:b/>
                <w:sz w:val="24"/>
              </w:rPr>
            </w:pPr>
          </w:p>
        </w:tc>
        <w:tc>
          <w:tcPr>
            <w:tcW w:w="1080" w:type="dxa"/>
            <w:tcBorders>
              <w:top w:val="single" w:sz="8" w:space="0" w:color="auto"/>
              <w:left w:val="nil"/>
              <w:bottom w:val="nil"/>
              <w:right w:val="single" w:sz="4" w:space="0" w:color="auto"/>
            </w:tcBorders>
            <w:shd w:val="pct12" w:color="auto" w:fill="FFFFFF"/>
            <w:vAlign w:val="center"/>
          </w:tcPr>
          <w:p w:rsidR="00000000" w:rsidRDefault="00C40079">
            <w:pPr>
              <w:tabs>
                <w:tab w:val="left" w:pos="360"/>
                <w:tab w:val="left" w:pos="720"/>
                <w:tab w:val="left" w:pos="1080"/>
                <w:tab w:val="left" w:pos="1440"/>
                <w:tab w:val="left" w:pos="1800"/>
                <w:tab w:val="left" w:pos="2160"/>
              </w:tabs>
              <w:jc w:val="center"/>
              <w:rPr>
                <w:b/>
                <w:sz w:val="24"/>
              </w:rPr>
            </w:pPr>
            <w:r>
              <w:rPr>
                <w:b/>
                <w:sz w:val="24"/>
              </w:rPr>
              <w:t>1997</w:t>
            </w:r>
          </w:p>
        </w:tc>
        <w:tc>
          <w:tcPr>
            <w:tcW w:w="1080" w:type="dxa"/>
            <w:tcBorders>
              <w:top w:val="single" w:sz="8" w:space="0" w:color="auto"/>
              <w:left w:val="nil"/>
              <w:bottom w:val="nil"/>
              <w:right w:val="single" w:sz="4" w:space="0" w:color="auto"/>
            </w:tcBorders>
            <w:shd w:val="pct12" w:color="auto" w:fill="FFFFFF"/>
            <w:vAlign w:val="center"/>
          </w:tcPr>
          <w:p w:rsidR="00000000" w:rsidRDefault="00C40079">
            <w:pPr>
              <w:tabs>
                <w:tab w:val="left" w:pos="360"/>
                <w:tab w:val="left" w:pos="720"/>
                <w:tab w:val="left" w:pos="1080"/>
                <w:tab w:val="left" w:pos="1440"/>
                <w:tab w:val="left" w:pos="1800"/>
                <w:tab w:val="left" w:pos="2160"/>
              </w:tabs>
              <w:jc w:val="center"/>
              <w:rPr>
                <w:b/>
                <w:sz w:val="24"/>
              </w:rPr>
            </w:pPr>
            <w:r>
              <w:rPr>
                <w:b/>
                <w:sz w:val="24"/>
              </w:rPr>
              <w:t>2007</w:t>
            </w:r>
          </w:p>
        </w:tc>
        <w:tc>
          <w:tcPr>
            <w:tcW w:w="900" w:type="dxa"/>
            <w:tcBorders>
              <w:top w:val="single" w:sz="8" w:space="0" w:color="auto"/>
              <w:left w:val="nil"/>
              <w:bottom w:val="nil"/>
              <w:right w:val="double" w:sz="4" w:space="0" w:color="auto"/>
            </w:tcBorders>
            <w:shd w:val="pct12" w:color="auto" w:fill="FFFFFF"/>
            <w:vAlign w:val="center"/>
          </w:tcPr>
          <w:p w:rsidR="00000000" w:rsidRDefault="00C40079">
            <w:pPr>
              <w:tabs>
                <w:tab w:val="left" w:pos="360"/>
                <w:tab w:val="left" w:pos="720"/>
                <w:tab w:val="left" w:pos="1080"/>
                <w:tab w:val="left" w:pos="1440"/>
                <w:tab w:val="left" w:pos="1800"/>
                <w:tab w:val="left" w:pos="2160"/>
              </w:tabs>
              <w:jc w:val="center"/>
              <w:rPr>
                <w:b/>
                <w:sz w:val="24"/>
              </w:rPr>
            </w:pPr>
            <w:r>
              <w:rPr>
                <w:b/>
                <w:sz w:val="24"/>
              </w:rPr>
              <w:t>2014</w:t>
            </w:r>
          </w:p>
        </w:tc>
        <w:tc>
          <w:tcPr>
            <w:tcW w:w="1260" w:type="dxa"/>
            <w:tcBorders>
              <w:top w:val="single" w:sz="8" w:space="0" w:color="auto"/>
              <w:left w:val="nil"/>
              <w:bottom w:val="nil"/>
              <w:right w:val="single" w:sz="8" w:space="0" w:color="auto"/>
            </w:tcBorders>
            <w:shd w:val="pct12" w:color="auto" w:fill="FFFFFF"/>
            <w:vAlign w:val="center"/>
          </w:tcPr>
          <w:p w:rsidR="00000000" w:rsidRDefault="00C40079">
            <w:pPr>
              <w:tabs>
                <w:tab w:val="left" w:pos="360"/>
                <w:tab w:val="left" w:pos="720"/>
                <w:tab w:val="left" w:pos="1080"/>
                <w:tab w:val="left" w:pos="1440"/>
                <w:tab w:val="left" w:pos="1800"/>
                <w:tab w:val="left" w:pos="2160"/>
              </w:tabs>
              <w:jc w:val="center"/>
              <w:rPr>
                <w:b/>
                <w:sz w:val="24"/>
              </w:rPr>
            </w:pPr>
            <w:r>
              <w:rPr>
                <w:b/>
                <w:sz w:val="24"/>
              </w:rPr>
              <w:t>2005</w:t>
            </w:r>
          </w:p>
        </w:tc>
        <w:tc>
          <w:tcPr>
            <w:tcW w:w="1080" w:type="dxa"/>
            <w:tcBorders>
              <w:top w:val="single" w:sz="8" w:space="0" w:color="auto"/>
              <w:left w:val="single" w:sz="8" w:space="0" w:color="auto"/>
              <w:bottom w:val="nil"/>
              <w:right w:val="double" w:sz="4" w:space="0" w:color="auto"/>
            </w:tcBorders>
            <w:shd w:val="pct12" w:color="auto" w:fill="FFFFFF"/>
            <w:vAlign w:val="center"/>
          </w:tcPr>
          <w:p w:rsidR="00000000" w:rsidRDefault="00C40079">
            <w:pPr>
              <w:tabs>
                <w:tab w:val="left" w:pos="360"/>
                <w:tab w:val="left" w:pos="720"/>
                <w:tab w:val="left" w:pos="1080"/>
                <w:tab w:val="left" w:pos="1440"/>
                <w:tab w:val="left" w:pos="1800"/>
                <w:tab w:val="left" w:pos="2160"/>
              </w:tabs>
              <w:jc w:val="center"/>
              <w:rPr>
                <w:b/>
                <w:sz w:val="24"/>
              </w:rPr>
            </w:pPr>
            <w:r>
              <w:rPr>
                <w:b/>
                <w:sz w:val="24"/>
              </w:rPr>
              <w:t>2007</w:t>
            </w:r>
          </w:p>
        </w:tc>
        <w:tc>
          <w:tcPr>
            <w:tcW w:w="1260" w:type="dxa"/>
            <w:tcBorders>
              <w:top w:val="single" w:sz="8" w:space="0" w:color="auto"/>
              <w:left w:val="nil"/>
              <w:bottom w:val="nil"/>
              <w:right w:val="single" w:sz="8" w:space="0" w:color="auto"/>
            </w:tcBorders>
            <w:shd w:val="pct12" w:color="auto" w:fill="FFFFFF"/>
            <w:vAlign w:val="center"/>
          </w:tcPr>
          <w:p w:rsidR="00000000" w:rsidRDefault="00C40079">
            <w:pPr>
              <w:tabs>
                <w:tab w:val="left" w:pos="360"/>
                <w:tab w:val="left" w:pos="720"/>
                <w:tab w:val="left" w:pos="1080"/>
                <w:tab w:val="left" w:pos="1440"/>
                <w:tab w:val="left" w:pos="1800"/>
                <w:tab w:val="left" w:pos="2160"/>
              </w:tabs>
              <w:jc w:val="center"/>
              <w:rPr>
                <w:b/>
                <w:sz w:val="24"/>
              </w:rPr>
            </w:pPr>
            <w:r>
              <w:rPr>
                <w:b/>
                <w:sz w:val="24"/>
              </w:rPr>
              <w:t>2005</w:t>
            </w:r>
          </w:p>
        </w:tc>
        <w:tc>
          <w:tcPr>
            <w:tcW w:w="990" w:type="dxa"/>
            <w:tcBorders>
              <w:top w:val="single" w:sz="8" w:space="0" w:color="auto"/>
              <w:left w:val="single" w:sz="8" w:space="0" w:color="auto"/>
              <w:bottom w:val="nil"/>
              <w:right w:val="double" w:sz="4" w:space="0" w:color="auto"/>
            </w:tcBorders>
            <w:shd w:val="pct12" w:color="auto" w:fill="FFFFFF"/>
            <w:vAlign w:val="center"/>
          </w:tcPr>
          <w:p w:rsidR="00000000" w:rsidRDefault="00C40079">
            <w:pPr>
              <w:tabs>
                <w:tab w:val="left" w:pos="360"/>
                <w:tab w:val="left" w:pos="720"/>
                <w:tab w:val="left" w:pos="1080"/>
                <w:tab w:val="left" w:pos="1440"/>
                <w:tab w:val="left" w:pos="1800"/>
                <w:tab w:val="left" w:pos="2160"/>
              </w:tabs>
              <w:jc w:val="center"/>
              <w:rPr>
                <w:b/>
                <w:sz w:val="24"/>
              </w:rPr>
            </w:pPr>
            <w:r>
              <w:rPr>
                <w:b/>
                <w:sz w:val="24"/>
              </w:rPr>
              <w:t>2007</w:t>
            </w:r>
          </w:p>
        </w:tc>
      </w:tr>
      <w:tr w:rsidR="00000000">
        <w:tblPrEx>
          <w:tblCellMar>
            <w:top w:w="0" w:type="dxa"/>
            <w:bottom w:w="0" w:type="dxa"/>
          </w:tblCellMar>
        </w:tblPrEx>
        <w:trPr>
          <w:cantSplit/>
          <w:trHeight w:val="1000"/>
        </w:trPr>
        <w:tc>
          <w:tcPr>
            <w:tcW w:w="2970" w:type="dxa"/>
            <w:tcBorders>
              <w:top w:val="double" w:sz="4" w:space="0" w:color="auto"/>
              <w:left w:val="double" w:sz="4" w:space="0" w:color="auto"/>
              <w:bottom w:val="double" w:sz="4" w:space="0" w:color="auto"/>
              <w:right w:val="double" w:sz="4" w:space="0" w:color="auto"/>
            </w:tcBorders>
            <w:shd w:val="clear" w:color="auto" w:fill="FFFFFF"/>
            <w:vAlign w:val="center"/>
          </w:tcPr>
          <w:p w:rsidR="00000000" w:rsidRDefault="00C40079">
            <w:pPr>
              <w:tabs>
                <w:tab w:val="left" w:pos="360"/>
                <w:tab w:val="left" w:pos="720"/>
                <w:tab w:val="left" w:pos="1080"/>
                <w:tab w:val="left" w:pos="1440"/>
                <w:tab w:val="left" w:pos="1800"/>
                <w:tab w:val="left" w:pos="2160"/>
              </w:tabs>
              <w:jc w:val="center"/>
              <w:rPr>
                <w:sz w:val="24"/>
              </w:rPr>
            </w:pPr>
            <w:r>
              <w:rPr>
                <w:sz w:val="24"/>
              </w:rPr>
              <w:t>North Jersey Transportation</w:t>
            </w:r>
          </w:p>
          <w:p w:rsidR="00000000" w:rsidRDefault="00C40079">
            <w:pPr>
              <w:tabs>
                <w:tab w:val="left" w:pos="360"/>
                <w:tab w:val="left" w:pos="720"/>
                <w:tab w:val="left" w:pos="1080"/>
                <w:tab w:val="left" w:pos="1440"/>
                <w:tab w:val="left" w:pos="1800"/>
                <w:tab w:val="left" w:pos="2160"/>
              </w:tabs>
              <w:jc w:val="center"/>
              <w:rPr>
                <w:sz w:val="24"/>
              </w:rPr>
            </w:pPr>
            <w:r>
              <w:rPr>
                <w:sz w:val="24"/>
              </w:rPr>
              <w:t>Planning Authority</w:t>
            </w:r>
          </w:p>
        </w:tc>
        <w:tc>
          <w:tcPr>
            <w:tcW w:w="1080" w:type="dxa"/>
            <w:tcBorders>
              <w:top w:val="double" w:sz="4" w:space="0" w:color="auto"/>
              <w:left w:val="nil"/>
              <w:bottom w:val="double" w:sz="4" w:space="0" w:color="auto"/>
              <w:right w:val="single" w:sz="4" w:space="0" w:color="auto"/>
            </w:tcBorders>
            <w:shd w:val="clear" w:color="auto" w:fill="FFFFFF"/>
            <w:vAlign w:val="center"/>
          </w:tcPr>
          <w:p w:rsidR="00000000" w:rsidRDefault="00C40079">
            <w:pPr>
              <w:tabs>
                <w:tab w:val="left" w:pos="360"/>
                <w:tab w:val="left" w:pos="720"/>
                <w:tab w:val="left" w:pos="1080"/>
                <w:tab w:val="left" w:pos="1440"/>
                <w:tab w:val="left" w:pos="1800"/>
                <w:tab w:val="left" w:pos="2160"/>
              </w:tabs>
              <w:jc w:val="center"/>
              <w:rPr>
                <w:sz w:val="24"/>
                <w:vertAlign w:val="superscript"/>
              </w:rPr>
            </w:pPr>
            <w:r>
              <w:rPr>
                <w:sz w:val="24"/>
              </w:rPr>
              <w:t>1,550.74</w:t>
            </w:r>
          </w:p>
        </w:tc>
        <w:tc>
          <w:tcPr>
            <w:tcW w:w="1080" w:type="dxa"/>
            <w:tcBorders>
              <w:top w:val="double" w:sz="4" w:space="0" w:color="auto"/>
              <w:left w:val="nil"/>
              <w:bottom w:val="double" w:sz="4" w:space="0" w:color="auto"/>
              <w:right w:val="single" w:sz="4" w:space="0" w:color="auto"/>
            </w:tcBorders>
            <w:shd w:val="clear" w:color="auto" w:fill="FFFFFF"/>
            <w:vAlign w:val="center"/>
          </w:tcPr>
          <w:p w:rsidR="00000000" w:rsidRDefault="00C40079">
            <w:pPr>
              <w:tabs>
                <w:tab w:val="left" w:pos="360"/>
                <w:tab w:val="left" w:pos="720"/>
                <w:tab w:val="left" w:pos="1080"/>
                <w:tab w:val="left" w:pos="1440"/>
                <w:tab w:val="left" w:pos="1800"/>
                <w:tab w:val="left" w:pos="2160"/>
              </w:tabs>
              <w:jc w:val="center"/>
              <w:rPr>
                <w:sz w:val="24"/>
                <w:vertAlign w:val="superscript"/>
              </w:rPr>
            </w:pPr>
            <w:r>
              <w:rPr>
                <w:sz w:val="24"/>
              </w:rPr>
              <w:t>1,150.99</w:t>
            </w:r>
          </w:p>
        </w:tc>
        <w:tc>
          <w:tcPr>
            <w:tcW w:w="900" w:type="dxa"/>
            <w:tcBorders>
              <w:top w:val="double" w:sz="4" w:space="0" w:color="auto"/>
              <w:left w:val="nil"/>
              <w:bottom w:val="double" w:sz="4" w:space="0" w:color="auto"/>
              <w:right w:val="double" w:sz="4" w:space="0" w:color="auto"/>
            </w:tcBorders>
            <w:shd w:val="clear" w:color="auto" w:fill="FFFFFF"/>
            <w:vAlign w:val="center"/>
          </w:tcPr>
          <w:p w:rsidR="00000000" w:rsidRDefault="00C40079">
            <w:pPr>
              <w:tabs>
                <w:tab w:val="left" w:pos="360"/>
                <w:tab w:val="left" w:pos="720"/>
                <w:tab w:val="left" w:pos="1080"/>
                <w:tab w:val="left" w:pos="1440"/>
                <w:tab w:val="left" w:pos="1800"/>
                <w:tab w:val="left" w:pos="2160"/>
              </w:tabs>
              <w:jc w:val="center"/>
              <w:rPr>
                <w:sz w:val="24"/>
              </w:rPr>
            </w:pPr>
            <w:r>
              <w:rPr>
                <w:sz w:val="24"/>
              </w:rPr>
              <w:t>899.01</w:t>
            </w:r>
          </w:p>
        </w:tc>
        <w:tc>
          <w:tcPr>
            <w:tcW w:w="1260" w:type="dxa"/>
            <w:tcBorders>
              <w:top w:val="double" w:sz="4" w:space="0" w:color="auto"/>
              <w:left w:val="nil"/>
              <w:bottom w:val="double" w:sz="4" w:space="0" w:color="auto"/>
              <w:right w:val="single" w:sz="8" w:space="0" w:color="auto"/>
            </w:tcBorders>
            <w:shd w:val="clear" w:color="auto" w:fill="FFFFFF"/>
            <w:vAlign w:val="center"/>
          </w:tcPr>
          <w:p w:rsidR="00000000" w:rsidRDefault="00C40079">
            <w:pPr>
              <w:tabs>
                <w:tab w:val="left" w:pos="360"/>
                <w:tab w:val="left" w:pos="720"/>
                <w:tab w:val="left" w:pos="1080"/>
                <w:tab w:val="left" w:pos="1440"/>
                <w:tab w:val="left" w:pos="1800"/>
                <w:tab w:val="left" w:pos="2160"/>
              </w:tabs>
              <w:jc w:val="center"/>
              <w:rPr>
                <w:sz w:val="24"/>
                <w:vertAlign w:val="superscript"/>
              </w:rPr>
            </w:pPr>
            <w:r>
              <w:rPr>
                <w:sz w:val="24"/>
              </w:rPr>
              <w:t>146.33</w:t>
            </w:r>
          </w:p>
        </w:tc>
        <w:tc>
          <w:tcPr>
            <w:tcW w:w="1080" w:type="dxa"/>
            <w:tcBorders>
              <w:top w:val="double" w:sz="4" w:space="0" w:color="auto"/>
              <w:left w:val="single" w:sz="8" w:space="0" w:color="auto"/>
              <w:bottom w:val="double" w:sz="4" w:space="0" w:color="auto"/>
              <w:right w:val="double" w:sz="4" w:space="0" w:color="auto"/>
            </w:tcBorders>
            <w:shd w:val="clear" w:color="auto" w:fill="FFFFFF"/>
            <w:vAlign w:val="center"/>
          </w:tcPr>
          <w:p w:rsidR="00000000" w:rsidRDefault="00C40079">
            <w:pPr>
              <w:tabs>
                <w:tab w:val="left" w:pos="360"/>
                <w:tab w:val="left" w:pos="720"/>
                <w:tab w:val="left" w:pos="1080"/>
                <w:tab w:val="left" w:pos="1440"/>
                <w:tab w:val="left" w:pos="1800"/>
                <w:tab w:val="left" w:pos="2160"/>
              </w:tabs>
              <w:jc w:val="center"/>
              <w:rPr>
                <w:sz w:val="24"/>
              </w:rPr>
            </w:pPr>
            <w:r>
              <w:rPr>
                <w:sz w:val="24"/>
              </w:rPr>
              <w:t>122.53</w:t>
            </w:r>
          </w:p>
        </w:tc>
        <w:tc>
          <w:tcPr>
            <w:tcW w:w="1260" w:type="dxa"/>
            <w:tcBorders>
              <w:top w:val="double" w:sz="4" w:space="0" w:color="auto"/>
              <w:left w:val="nil"/>
              <w:bottom w:val="double" w:sz="4" w:space="0" w:color="auto"/>
              <w:right w:val="single" w:sz="8" w:space="0" w:color="auto"/>
            </w:tcBorders>
            <w:shd w:val="clear" w:color="auto" w:fill="FFFFFF"/>
            <w:vAlign w:val="center"/>
          </w:tcPr>
          <w:p w:rsidR="00000000" w:rsidRDefault="00C40079">
            <w:pPr>
              <w:tabs>
                <w:tab w:val="left" w:pos="360"/>
                <w:tab w:val="left" w:pos="720"/>
                <w:tab w:val="left" w:pos="1080"/>
                <w:tab w:val="left" w:pos="1440"/>
                <w:tab w:val="left" w:pos="1800"/>
                <w:tab w:val="left" w:pos="2160"/>
              </w:tabs>
              <w:jc w:val="center"/>
              <w:rPr>
                <w:sz w:val="24"/>
                <w:vertAlign w:val="superscript"/>
              </w:rPr>
            </w:pPr>
            <w:r>
              <w:rPr>
                <w:sz w:val="24"/>
              </w:rPr>
              <w:t>327.83</w:t>
            </w:r>
          </w:p>
        </w:tc>
        <w:tc>
          <w:tcPr>
            <w:tcW w:w="990" w:type="dxa"/>
            <w:tcBorders>
              <w:top w:val="double" w:sz="4" w:space="0" w:color="auto"/>
              <w:left w:val="single" w:sz="8" w:space="0" w:color="auto"/>
              <w:bottom w:val="double" w:sz="4" w:space="0" w:color="auto"/>
              <w:right w:val="double" w:sz="4" w:space="0" w:color="auto"/>
            </w:tcBorders>
            <w:shd w:val="clear" w:color="auto" w:fill="FFFFFF"/>
            <w:vAlign w:val="center"/>
          </w:tcPr>
          <w:p w:rsidR="00000000" w:rsidRDefault="00C40079">
            <w:pPr>
              <w:tabs>
                <w:tab w:val="left" w:pos="360"/>
                <w:tab w:val="left" w:pos="720"/>
                <w:tab w:val="left" w:pos="1080"/>
                <w:tab w:val="left" w:pos="1440"/>
                <w:tab w:val="left" w:pos="1800"/>
                <w:tab w:val="left" w:pos="2160"/>
              </w:tabs>
              <w:jc w:val="center"/>
              <w:rPr>
                <w:sz w:val="24"/>
              </w:rPr>
            </w:pPr>
            <w:r>
              <w:rPr>
                <w:sz w:val="24"/>
              </w:rPr>
              <w:t>256.58</w:t>
            </w:r>
          </w:p>
        </w:tc>
      </w:tr>
    </w:tbl>
    <w:p w:rsidR="00000000" w:rsidRDefault="00C40079">
      <w:pPr>
        <w:tabs>
          <w:tab w:val="left" w:pos="720"/>
          <w:tab w:val="left" w:pos="1080"/>
          <w:tab w:val="left" w:pos="1440"/>
          <w:tab w:val="left" w:pos="1800"/>
          <w:tab w:val="left" w:pos="2160"/>
        </w:tabs>
        <w:rPr>
          <w:rFonts w:ascii="Times New (W1)" w:hAnsi="Times New (W1)"/>
          <w:sz w:val="22"/>
        </w:rPr>
      </w:pPr>
      <w:r>
        <w:rPr>
          <w:rFonts w:ascii="Times New (W1)" w:hAnsi="Times New (W1)"/>
          <w:sz w:val="22"/>
        </w:rPr>
        <w:t>NOTES:</w:t>
      </w:r>
    </w:p>
    <w:p w:rsidR="00000000" w:rsidRDefault="00C40079">
      <w:pPr>
        <w:numPr>
          <w:ilvl w:val="0"/>
          <w:numId w:val="5"/>
        </w:numPr>
        <w:tabs>
          <w:tab w:val="left" w:pos="720"/>
          <w:tab w:val="left" w:pos="1080"/>
          <w:tab w:val="left" w:pos="1440"/>
          <w:tab w:val="left" w:pos="1800"/>
          <w:tab w:val="left" w:pos="2160"/>
        </w:tabs>
        <w:rPr>
          <w:rFonts w:ascii="Times New (W1)" w:hAnsi="Times New (W1)"/>
          <w:sz w:val="22"/>
        </w:rPr>
      </w:pPr>
      <w:r>
        <w:rPr>
          <w:rFonts w:ascii="Times New (W1)" w:hAnsi="Times New (W1)"/>
          <w:sz w:val="22"/>
        </w:rPr>
        <w:t>For Passaic, Bergen, Essex, Hudson and Union counties.</w:t>
      </w:r>
    </w:p>
    <w:p w:rsidR="00000000" w:rsidRDefault="00C40079">
      <w:pPr>
        <w:numPr>
          <w:ilvl w:val="0"/>
          <w:numId w:val="5"/>
        </w:numPr>
        <w:tabs>
          <w:tab w:val="left" w:pos="720"/>
          <w:tab w:val="left" w:pos="1080"/>
          <w:tab w:val="left" w:pos="1440"/>
          <w:tab w:val="left" w:pos="1800"/>
          <w:tab w:val="left" w:pos="2160"/>
        </w:tabs>
        <w:rPr>
          <w:rFonts w:ascii="Times New (W1)" w:hAnsi="Times New (W1)"/>
          <w:sz w:val="22"/>
        </w:rPr>
      </w:pPr>
      <w:r>
        <w:rPr>
          <w:rFonts w:ascii="Times New (W1)" w:hAnsi="Times New (W1)"/>
          <w:sz w:val="22"/>
        </w:rPr>
        <w:t xml:space="preserve">For all counties within the </w:t>
      </w:r>
      <w:r>
        <w:rPr>
          <w:sz w:val="22"/>
        </w:rPr>
        <w:t>Metropolitan Planning Organ</w:t>
      </w:r>
      <w:r>
        <w:rPr>
          <w:sz w:val="22"/>
        </w:rPr>
        <w:t>ization</w:t>
      </w:r>
      <w:r>
        <w:rPr>
          <w:rFonts w:ascii="Times New (W1)" w:hAnsi="Times New (W1)"/>
          <w:sz w:val="22"/>
        </w:rPr>
        <w:t>.</w:t>
      </w:r>
    </w:p>
    <w:p w:rsidR="00000000" w:rsidRDefault="00C40079">
      <w:pPr>
        <w:tabs>
          <w:tab w:val="left" w:pos="720"/>
          <w:tab w:val="left" w:pos="1080"/>
          <w:tab w:val="left" w:pos="1440"/>
          <w:tab w:val="left" w:pos="1800"/>
          <w:tab w:val="left" w:pos="2160"/>
        </w:tabs>
        <w:rPr>
          <w:sz w:val="24"/>
        </w:rPr>
      </w:pPr>
    </w:p>
    <w:p w:rsidR="00000000" w:rsidRDefault="00C40079">
      <w:pPr>
        <w:tabs>
          <w:tab w:val="left" w:pos="720"/>
          <w:tab w:val="left" w:pos="1080"/>
          <w:tab w:val="left" w:pos="1440"/>
          <w:tab w:val="left" w:pos="1800"/>
          <w:tab w:val="left" w:pos="2160"/>
        </w:tabs>
        <w:rPr>
          <w:sz w:val="24"/>
        </w:rPr>
      </w:pPr>
    </w:p>
    <w:p w:rsidR="00000000" w:rsidRDefault="00C40079">
      <w:pPr>
        <w:pStyle w:val="BodyText2"/>
        <w:tabs>
          <w:tab w:val="left" w:pos="720"/>
          <w:tab w:val="left" w:pos="1080"/>
          <w:tab w:val="left" w:pos="1440"/>
          <w:tab w:val="left" w:pos="1800"/>
          <w:tab w:val="left" w:pos="2160"/>
        </w:tabs>
      </w:pPr>
      <w:bookmarkStart w:id="71" w:name="Table_ES2"/>
      <w:bookmarkStart w:id="72" w:name="_Hlt126635576"/>
      <w:bookmarkEnd w:id="72"/>
      <w:r>
        <w:t>Table ES2</w:t>
      </w:r>
      <w:bookmarkEnd w:id="71"/>
    </w:p>
    <w:p w:rsidR="00000000" w:rsidRDefault="00C40079">
      <w:pPr>
        <w:pStyle w:val="BodyText2"/>
        <w:tabs>
          <w:tab w:val="left" w:pos="720"/>
          <w:tab w:val="left" w:pos="1080"/>
          <w:tab w:val="left" w:pos="1440"/>
          <w:tab w:val="left" w:pos="1800"/>
          <w:tab w:val="left" w:pos="2160"/>
        </w:tabs>
      </w:pPr>
      <w:r>
        <w:t xml:space="preserve">Comparison of the Proposed Updated Carbon Monoxide and 1-Hour Ozone </w:t>
      </w:r>
    </w:p>
    <w:p w:rsidR="00000000" w:rsidRDefault="00C40079">
      <w:pPr>
        <w:pStyle w:val="BodyText2"/>
        <w:tabs>
          <w:tab w:val="left" w:pos="720"/>
          <w:tab w:val="left" w:pos="1080"/>
          <w:tab w:val="left" w:pos="1440"/>
          <w:tab w:val="left" w:pos="1800"/>
          <w:tab w:val="left" w:pos="2160"/>
        </w:tabs>
      </w:pPr>
      <w:r>
        <w:t>Transportation Conformity Emission Budgets with Prior Budgets</w:t>
      </w:r>
    </w:p>
    <w:p w:rsidR="00000000" w:rsidRDefault="00C40079">
      <w:pPr>
        <w:tabs>
          <w:tab w:val="left" w:pos="720"/>
          <w:tab w:val="left" w:pos="1080"/>
          <w:tab w:val="left" w:pos="1440"/>
          <w:tab w:val="left" w:pos="1800"/>
          <w:tab w:val="left" w:pos="2160"/>
        </w:tabs>
        <w:jc w:val="center"/>
        <w:rPr>
          <w:b/>
          <w:sz w:val="24"/>
        </w:rPr>
      </w:pPr>
    </w:p>
    <w:tbl>
      <w:tblPr>
        <w:tblW w:w="0" w:type="auto"/>
        <w:tblInd w:w="-475"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CellMar>
          <w:left w:w="65" w:type="dxa"/>
          <w:right w:w="65" w:type="dxa"/>
        </w:tblCellMar>
        <w:tblLook w:val="0000" w:firstRow="0" w:lastRow="0" w:firstColumn="0" w:lastColumn="0" w:noHBand="0" w:noVBand="0"/>
      </w:tblPr>
      <w:tblGrid>
        <w:gridCol w:w="1980"/>
        <w:gridCol w:w="1080"/>
        <w:gridCol w:w="1080"/>
        <w:gridCol w:w="1080"/>
        <w:gridCol w:w="900"/>
        <w:gridCol w:w="1260"/>
        <w:gridCol w:w="1080"/>
        <w:gridCol w:w="1260"/>
        <w:gridCol w:w="1080"/>
      </w:tblGrid>
      <w:tr w:rsidR="00000000">
        <w:tblPrEx>
          <w:tblCellMar>
            <w:top w:w="0" w:type="dxa"/>
            <w:bottom w:w="0" w:type="dxa"/>
          </w:tblCellMar>
        </w:tblPrEx>
        <w:trPr>
          <w:cantSplit/>
          <w:trHeight w:val="650"/>
        </w:trPr>
        <w:tc>
          <w:tcPr>
            <w:tcW w:w="1980" w:type="dxa"/>
            <w:vMerge w:val="restart"/>
            <w:tcBorders>
              <w:top w:val="double" w:sz="4" w:space="0" w:color="auto"/>
              <w:bottom w:val="single" w:sz="4" w:space="0" w:color="auto"/>
              <w:right w:val="single" w:sz="8" w:space="0" w:color="auto"/>
            </w:tcBorders>
            <w:shd w:val="pct20" w:color="auto" w:fill="FFFFFF"/>
            <w:vAlign w:val="center"/>
          </w:tcPr>
          <w:p w:rsidR="00000000" w:rsidRDefault="00C40079">
            <w:pPr>
              <w:tabs>
                <w:tab w:val="left" w:pos="360"/>
                <w:tab w:val="left" w:pos="720"/>
                <w:tab w:val="left" w:pos="1080"/>
                <w:tab w:val="left" w:pos="1440"/>
                <w:tab w:val="left" w:pos="1800"/>
                <w:tab w:val="left" w:pos="2160"/>
              </w:tabs>
              <w:jc w:val="center"/>
              <w:rPr>
                <w:b/>
                <w:sz w:val="24"/>
              </w:rPr>
            </w:pPr>
            <w:r>
              <w:rPr>
                <w:b/>
                <w:sz w:val="24"/>
              </w:rPr>
              <w:t>Transportation</w:t>
            </w:r>
          </w:p>
          <w:p w:rsidR="00000000" w:rsidRDefault="00C40079">
            <w:pPr>
              <w:tabs>
                <w:tab w:val="left" w:pos="360"/>
                <w:tab w:val="left" w:pos="720"/>
                <w:tab w:val="left" w:pos="1080"/>
                <w:tab w:val="left" w:pos="1440"/>
                <w:tab w:val="left" w:pos="1800"/>
                <w:tab w:val="left" w:pos="2160"/>
              </w:tabs>
              <w:jc w:val="center"/>
              <w:rPr>
                <w:b/>
                <w:sz w:val="24"/>
              </w:rPr>
            </w:pPr>
            <w:r>
              <w:rPr>
                <w:b/>
                <w:sz w:val="24"/>
              </w:rPr>
              <w:t>Planning Area</w:t>
            </w:r>
          </w:p>
        </w:tc>
        <w:tc>
          <w:tcPr>
            <w:tcW w:w="1080" w:type="dxa"/>
            <w:vMerge w:val="restart"/>
            <w:tcBorders>
              <w:top w:val="double" w:sz="4" w:space="0" w:color="auto"/>
              <w:left w:val="nil"/>
              <w:bottom w:val="single" w:sz="4" w:space="0" w:color="auto"/>
              <w:right w:val="single" w:sz="8" w:space="0" w:color="auto"/>
            </w:tcBorders>
            <w:shd w:val="pct20" w:color="auto" w:fill="FFFFFF"/>
            <w:vAlign w:val="center"/>
          </w:tcPr>
          <w:p w:rsidR="00000000" w:rsidRDefault="00C40079">
            <w:pPr>
              <w:tabs>
                <w:tab w:val="left" w:pos="720"/>
                <w:tab w:val="left" w:pos="1080"/>
                <w:tab w:val="left" w:pos="1440"/>
                <w:tab w:val="left" w:pos="1800"/>
                <w:tab w:val="left" w:pos="2160"/>
              </w:tabs>
              <w:jc w:val="center"/>
              <w:rPr>
                <w:b/>
                <w:sz w:val="24"/>
              </w:rPr>
            </w:pPr>
            <w:r>
              <w:rPr>
                <w:b/>
                <w:sz w:val="24"/>
              </w:rPr>
              <w:t>Prior or Updated</w:t>
            </w:r>
          </w:p>
        </w:tc>
        <w:tc>
          <w:tcPr>
            <w:tcW w:w="3060" w:type="dxa"/>
            <w:gridSpan w:val="3"/>
            <w:tcBorders>
              <w:top w:val="double" w:sz="4" w:space="0" w:color="auto"/>
              <w:left w:val="nil"/>
              <w:bottom w:val="single" w:sz="2" w:space="0" w:color="auto"/>
              <w:right w:val="single" w:sz="8" w:space="0" w:color="auto"/>
            </w:tcBorders>
            <w:shd w:val="pct20" w:color="auto" w:fill="FFFFFF"/>
            <w:vAlign w:val="center"/>
          </w:tcPr>
          <w:p w:rsidR="00000000" w:rsidRDefault="00C40079">
            <w:pPr>
              <w:tabs>
                <w:tab w:val="left" w:pos="720"/>
                <w:tab w:val="left" w:pos="1080"/>
                <w:tab w:val="left" w:pos="1440"/>
                <w:tab w:val="left" w:pos="1800"/>
                <w:tab w:val="left" w:pos="2160"/>
              </w:tabs>
              <w:jc w:val="center"/>
              <w:rPr>
                <w:b/>
                <w:sz w:val="24"/>
              </w:rPr>
            </w:pPr>
            <w:r>
              <w:rPr>
                <w:b/>
                <w:sz w:val="24"/>
              </w:rPr>
              <w:t>Carbon Monoxide Emissions</w:t>
            </w:r>
            <w:r>
              <w:rPr>
                <w:b/>
                <w:sz w:val="24"/>
                <w:vertAlign w:val="superscript"/>
              </w:rPr>
              <w:t>(1)</w:t>
            </w:r>
          </w:p>
          <w:p w:rsidR="00000000" w:rsidRDefault="00C40079">
            <w:pPr>
              <w:tabs>
                <w:tab w:val="left" w:pos="720"/>
                <w:tab w:val="left" w:pos="1080"/>
                <w:tab w:val="left" w:pos="1440"/>
                <w:tab w:val="left" w:pos="1800"/>
                <w:tab w:val="left" w:pos="2160"/>
              </w:tabs>
              <w:jc w:val="center"/>
              <w:rPr>
                <w:b/>
                <w:sz w:val="24"/>
              </w:rPr>
            </w:pPr>
            <w:r>
              <w:rPr>
                <w:b/>
                <w:sz w:val="24"/>
              </w:rPr>
              <w:t>(tons per winter day)</w:t>
            </w:r>
          </w:p>
        </w:tc>
        <w:tc>
          <w:tcPr>
            <w:tcW w:w="2340" w:type="dxa"/>
            <w:gridSpan w:val="2"/>
            <w:tcBorders>
              <w:top w:val="double" w:sz="4" w:space="0" w:color="auto"/>
              <w:left w:val="nil"/>
              <w:bottom w:val="nil"/>
              <w:right w:val="single" w:sz="8" w:space="0" w:color="auto"/>
            </w:tcBorders>
            <w:shd w:val="pct20" w:color="auto" w:fill="FFFFFF"/>
            <w:vAlign w:val="center"/>
          </w:tcPr>
          <w:p w:rsidR="00000000" w:rsidRDefault="00C40079">
            <w:pPr>
              <w:tabs>
                <w:tab w:val="left" w:pos="720"/>
                <w:tab w:val="left" w:pos="1080"/>
                <w:tab w:val="left" w:pos="1440"/>
                <w:tab w:val="left" w:pos="1800"/>
                <w:tab w:val="left" w:pos="2160"/>
              </w:tabs>
              <w:jc w:val="center"/>
              <w:rPr>
                <w:b/>
                <w:sz w:val="24"/>
              </w:rPr>
            </w:pPr>
            <w:r>
              <w:rPr>
                <w:b/>
                <w:sz w:val="24"/>
              </w:rPr>
              <w:t>VOC Em</w:t>
            </w:r>
            <w:r>
              <w:rPr>
                <w:b/>
                <w:sz w:val="24"/>
              </w:rPr>
              <w:t>issions</w:t>
            </w:r>
            <w:r>
              <w:rPr>
                <w:b/>
                <w:sz w:val="24"/>
                <w:vertAlign w:val="superscript"/>
              </w:rPr>
              <w:t>(2)</w:t>
            </w:r>
          </w:p>
          <w:p w:rsidR="00000000" w:rsidRDefault="00C40079">
            <w:pPr>
              <w:tabs>
                <w:tab w:val="left" w:pos="720"/>
                <w:tab w:val="left" w:pos="1080"/>
                <w:tab w:val="left" w:pos="1440"/>
                <w:tab w:val="left" w:pos="1800"/>
                <w:tab w:val="left" w:pos="2160"/>
              </w:tabs>
              <w:jc w:val="center"/>
              <w:rPr>
                <w:b/>
                <w:sz w:val="24"/>
              </w:rPr>
            </w:pPr>
            <w:r>
              <w:rPr>
                <w:b/>
                <w:sz w:val="24"/>
              </w:rPr>
              <w:t>(tons per ozone day)</w:t>
            </w:r>
          </w:p>
        </w:tc>
        <w:tc>
          <w:tcPr>
            <w:tcW w:w="2340" w:type="dxa"/>
            <w:gridSpan w:val="2"/>
            <w:tcBorders>
              <w:top w:val="double" w:sz="4" w:space="0" w:color="auto"/>
              <w:left w:val="nil"/>
              <w:bottom w:val="nil"/>
            </w:tcBorders>
            <w:shd w:val="pct20" w:color="auto" w:fill="FFFFFF"/>
            <w:vAlign w:val="center"/>
          </w:tcPr>
          <w:p w:rsidR="00000000" w:rsidRDefault="00C40079">
            <w:pPr>
              <w:tabs>
                <w:tab w:val="left" w:pos="720"/>
                <w:tab w:val="left" w:pos="1080"/>
                <w:tab w:val="left" w:pos="1440"/>
                <w:tab w:val="left" w:pos="1800"/>
                <w:tab w:val="left" w:pos="2160"/>
              </w:tabs>
              <w:jc w:val="center"/>
              <w:rPr>
                <w:b/>
                <w:sz w:val="24"/>
              </w:rPr>
            </w:pPr>
            <w:r>
              <w:rPr>
                <w:b/>
                <w:sz w:val="24"/>
              </w:rPr>
              <w:t>NO</w:t>
            </w:r>
            <w:r>
              <w:rPr>
                <w:b/>
                <w:sz w:val="24"/>
                <w:vertAlign w:val="subscript"/>
              </w:rPr>
              <w:t>x</w:t>
            </w:r>
            <w:r>
              <w:rPr>
                <w:b/>
                <w:sz w:val="24"/>
              </w:rPr>
              <w:t xml:space="preserve"> Emissions</w:t>
            </w:r>
            <w:r>
              <w:rPr>
                <w:sz w:val="24"/>
                <w:vertAlign w:val="superscript"/>
              </w:rPr>
              <w:t>(</w:t>
            </w:r>
            <w:r>
              <w:rPr>
                <w:b/>
                <w:sz w:val="24"/>
                <w:vertAlign w:val="superscript"/>
              </w:rPr>
              <w:t>2)</w:t>
            </w:r>
          </w:p>
          <w:p w:rsidR="00000000" w:rsidRDefault="00C40079">
            <w:pPr>
              <w:tabs>
                <w:tab w:val="left" w:pos="720"/>
                <w:tab w:val="left" w:pos="1080"/>
                <w:tab w:val="left" w:pos="1440"/>
                <w:tab w:val="left" w:pos="1800"/>
                <w:tab w:val="left" w:pos="2160"/>
              </w:tabs>
              <w:jc w:val="center"/>
              <w:rPr>
                <w:b/>
                <w:sz w:val="24"/>
              </w:rPr>
            </w:pPr>
            <w:r>
              <w:rPr>
                <w:b/>
                <w:sz w:val="24"/>
              </w:rPr>
              <w:t>(tons per ozone day)</w:t>
            </w:r>
          </w:p>
        </w:tc>
      </w:tr>
      <w:tr w:rsidR="00000000">
        <w:tblPrEx>
          <w:tblCellMar>
            <w:top w:w="0" w:type="dxa"/>
            <w:bottom w:w="0" w:type="dxa"/>
          </w:tblCellMar>
        </w:tblPrEx>
        <w:trPr>
          <w:cantSplit/>
          <w:trHeight w:val="500"/>
        </w:trPr>
        <w:tc>
          <w:tcPr>
            <w:tcW w:w="1980" w:type="dxa"/>
            <w:vMerge/>
            <w:tcBorders>
              <w:top w:val="single" w:sz="4" w:space="0" w:color="auto"/>
              <w:bottom w:val="nil"/>
              <w:right w:val="single" w:sz="8" w:space="0" w:color="auto"/>
            </w:tcBorders>
            <w:vAlign w:val="center"/>
          </w:tcPr>
          <w:p w:rsidR="00000000" w:rsidRDefault="00C40079">
            <w:pPr>
              <w:tabs>
                <w:tab w:val="left" w:pos="360"/>
                <w:tab w:val="left" w:pos="720"/>
                <w:tab w:val="left" w:pos="1080"/>
                <w:tab w:val="left" w:pos="1440"/>
                <w:tab w:val="left" w:pos="1800"/>
                <w:tab w:val="left" w:pos="2160"/>
              </w:tabs>
              <w:jc w:val="center"/>
              <w:rPr>
                <w:b/>
                <w:sz w:val="24"/>
              </w:rPr>
            </w:pPr>
          </w:p>
        </w:tc>
        <w:tc>
          <w:tcPr>
            <w:tcW w:w="1080" w:type="dxa"/>
            <w:vMerge/>
            <w:tcBorders>
              <w:top w:val="single" w:sz="4" w:space="0" w:color="auto"/>
              <w:left w:val="nil"/>
              <w:bottom w:val="nil"/>
              <w:right w:val="single" w:sz="8" w:space="0" w:color="auto"/>
            </w:tcBorders>
            <w:vAlign w:val="center"/>
          </w:tcPr>
          <w:p w:rsidR="00000000" w:rsidRDefault="00C40079">
            <w:pPr>
              <w:tabs>
                <w:tab w:val="left" w:pos="720"/>
                <w:tab w:val="left" w:pos="1080"/>
                <w:tab w:val="left" w:pos="1440"/>
                <w:tab w:val="left" w:pos="1800"/>
                <w:tab w:val="left" w:pos="2160"/>
              </w:tabs>
              <w:jc w:val="center"/>
              <w:rPr>
                <w:b/>
                <w:sz w:val="24"/>
              </w:rPr>
            </w:pPr>
          </w:p>
        </w:tc>
        <w:tc>
          <w:tcPr>
            <w:tcW w:w="1080" w:type="dxa"/>
            <w:tcBorders>
              <w:top w:val="single" w:sz="2" w:space="0" w:color="auto"/>
              <w:left w:val="nil"/>
              <w:bottom w:val="nil"/>
            </w:tcBorders>
            <w:shd w:val="pct12" w:color="auto" w:fill="FFFFFF"/>
            <w:vAlign w:val="center"/>
          </w:tcPr>
          <w:p w:rsidR="00000000" w:rsidRDefault="00C40079">
            <w:pPr>
              <w:tabs>
                <w:tab w:val="left" w:pos="720"/>
                <w:tab w:val="left" w:pos="1080"/>
                <w:tab w:val="left" w:pos="1440"/>
                <w:tab w:val="left" w:pos="1800"/>
                <w:tab w:val="left" w:pos="2160"/>
              </w:tabs>
              <w:jc w:val="center"/>
              <w:rPr>
                <w:b/>
                <w:sz w:val="24"/>
              </w:rPr>
            </w:pPr>
            <w:r>
              <w:rPr>
                <w:b/>
                <w:sz w:val="24"/>
              </w:rPr>
              <w:t>1997</w:t>
            </w:r>
          </w:p>
        </w:tc>
        <w:tc>
          <w:tcPr>
            <w:tcW w:w="1080" w:type="dxa"/>
            <w:tcBorders>
              <w:top w:val="single" w:sz="2" w:space="0" w:color="auto"/>
              <w:bottom w:val="nil"/>
            </w:tcBorders>
            <w:shd w:val="pct12" w:color="auto" w:fill="FFFFFF"/>
            <w:vAlign w:val="center"/>
          </w:tcPr>
          <w:p w:rsidR="00000000" w:rsidRDefault="00C40079">
            <w:pPr>
              <w:tabs>
                <w:tab w:val="left" w:pos="720"/>
                <w:tab w:val="left" w:pos="1080"/>
                <w:tab w:val="left" w:pos="1440"/>
                <w:tab w:val="left" w:pos="1800"/>
                <w:tab w:val="left" w:pos="2160"/>
              </w:tabs>
              <w:jc w:val="center"/>
              <w:rPr>
                <w:b/>
                <w:sz w:val="24"/>
              </w:rPr>
            </w:pPr>
            <w:r>
              <w:rPr>
                <w:b/>
                <w:sz w:val="24"/>
              </w:rPr>
              <w:t>2007</w:t>
            </w:r>
          </w:p>
        </w:tc>
        <w:tc>
          <w:tcPr>
            <w:tcW w:w="900" w:type="dxa"/>
            <w:tcBorders>
              <w:top w:val="single" w:sz="2" w:space="0" w:color="auto"/>
              <w:bottom w:val="nil"/>
              <w:right w:val="single" w:sz="8" w:space="0" w:color="auto"/>
            </w:tcBorders>
            <w:shd w:val="pct12" w:color="auto" w:fill="FFFFFF"/>
            <w:vAlign w:val="center"/>
          </w:tcPr>
          <w:p w:rsidR="00000000" w:rsidRDefault="00C40079">
            <w:pPr>
              <w:tabs>
                <w:tab w:val="left" w:pos="720"/>
                <w:tab w:val="left" w:pos="1080"/>
                <w:tab w:val="left" w:pos="1440"/>
                <w:tab w:val="left" w:pos="1800"/>
                <w:tab w:val="left" w:pos="2160"/>
              </w:tabs>
              <w:jc w:val="center"/>
              <w:rPr>
                <w:b/>
                <w:sz w:val="24"/>
              </w:rPr>
            </w:pPr>
            <w:r>
              <w:rPr>
                <w:b/>
                <w:sz w:val="24"/>
              </w:rPr>
              <w:t>2014</w:t>
            </w:r>
          </w:p>
        </w:tc>
        <w:tc>
          <w:tcPr>
            <w:tcW w:w="1260" w:type="dxa"/>
            <w:tcBorders>
              <w:left w:val="nil"/>
              <w:bottom w:val="nil"/>
            </w:tcBorders>
            <w:shd w:val="pct12" w:color="auto" w:fill="FFFFFF"/>
            <w:vAlign w:val="center"/>
          </w:tcPr>
          <w:p w:rsidR="00000000" w:rsidRDefault="00C40079">
            <w:pPr>
              <w:tabs>
                <w:tab w:val="left" w:pos="720"/>
                <w:tab w:val="left" w:pos="1080"/>
                <w:tab w:val="left" w:pos="1440"/>
                <w:tab w:val="left" w:pos="1800"/>
                <w:tab w:val="left" w:pos="2160"/>
              </w:tabs>
              <w:jc w:val="center"/>
              <w:rPr>
                <w:b/>
                <w:sz w:val="24"/>
              </w:rPr>
            </w:pPr>
            <w:r>
              <w:rPr>
                <w:b/>
                <w:sz w:val="24"/>
              </w:rPr>
              <w:t>2005</w:t>
            </w:r>
          </w:p>
        </w:tc>
        <w:tc>
          <w:tcPr>
            <w:tcW w:w="1080" w:type="dxa"/>
            <w:tcBorders>
              <w:bottom w:val="nil"/>
              <w:right w:val="single" w:sz="8" w:space="0" w:color="auto"/>
            </w:tcBorders>
            <w:shd w:val="pct12" w:color="auto" w:fill="FFFFFF"/>
            <w:vAlign w:val="center"/>
          </w:tcPr>
          <w:p w:rsidR="00000000" w:rsidRDefault="00C40079">
            <w:pPr>
              <w:tabs>
                <w:tab w:val="left" w:pos="720"/>
                <w:tab w:val="left" w:pos="1080"/>
                <w:tab w:val="left" w:pos="1440"/>
                <w:tab w:val="left" w:pos="1800"/>
                <w:tab w:val="left" w:pos="2160"/>
              </w:tabs>
              <w:jc w:val="center"/>
              <w:rPr>
                <w:b/>
                <w:sz w:val="24"/>
              </w:rPr>
            </w:pPr>
            <w:r>
              <w:rPr>
                <w:b/>
                <w:sz w:val="24"/>
              </w:rPr>
              <w:t>2007</w:t>
            </w:r>
          </w:p>
        </w:tc>
        <w:tc>
          <w:tcPr>
            <w:tcW w:w="1260" w:type="dxa"/>
            <w:tcBorders>
              <w:left w:val="nil"/>
              <w:bottom w:val="nil"/>
            </w:tcBorders>
            <w:shd w:val="pct12" w:color="auto" w:fill="FFFFFF"/>
            <w:vAlign w:val="center"/>
          </w:tcPr>
          <w:p w:rsidR="00000000" w:rsidRDefault="00C40079">
            <w:pPr>
              <w:tabs>
                <w:tab w:val="left" w:pos="720"/>
                <w:tab w:val="left" w:pos="1080"/>
                <w:tab w:val="left" w:pos="1440"/>
                <w:tab w:val="left" w:pos="1800"/>
                <w:tab w:val="left" w:pos="2160"/>
              </w:tabs>
              <w:jc w:val="center"/>
              <w:rPr>
                <w:b/>
                <w:sz w:val="24"/>
              </w:rPr>
            </w:pPr>
            <w:r>
              <w:rPr>
                <w:b/>
                <w:sz w:val="24"/>
              </w:rPr>
              <w:t>2005</w:t>
            </w:r>
          </w:p>
        </w:tc>
        <w:tc>
          <w:tcPr>
            <w:tcW w:w="1080" w:type="dxa"/>
            <w:tcBorders>
              <w:bottom w:val="nil"/>
            </w:tcBorders>
            <w:shd w:val="pct12" w:color="auto" w:fill="FFFFFF"/>
            <w:vAlign w:val="center"/>
          </w:tcPr>
          <w:p w:rsidR="00000000" w:rsidRDefault="00C40079">
            <w:pPr>
              <w:tabs>
                <w:tab w:val="left" w:pos="720"/>
                <w:tab w:val="left" w:pos="1080"/>
                <w:tab w:val="left" w:pos="1440"/>
                <w:tab w:val="left" w:pos="1800"/>
                <w:tab w:val="left" w:pos="2160"/>
              </w:tabs>
              <w:jc w:val="center"/>
              <w:rPr>
                <w:b/>
                <w:sz w:val="24"/>
              </w:rPr>
            </w:pPr>
            <w:r>
              <w:rPr>
                <w:b/>
                <w:sz w:val="24"/>
              </w:rPr>
              <w:t>2007</w:t>
            </w:r>
          </w:p>
        </w:tc>
      </w:tr>
      <w:tr w:rsidR="00000000">
        <w:tblPrEx>
          <w:tblCellMar>
            <w:top w:w="0" w:type="dxa"/>
            <w:bottom w:w="0" w:type="dxa"/>
          </w:tblCellMar>
        </w:tblPrEx>
        <w:trPr>
          <w:cantSplit/>
          <w:trHeight w:val="800"/>
        </w:trPr>
        <w:tc>
          <w:tcPr>
            <w:tcW w:w="1980" w:type="dxa"/>
            <w:vMerge w:val="restart"/>
            <w:tcBorders>
              <w:top w:val="double" w:sz="4" w:space="0" w:color="auto"/>
              <w:right w:val="single" w:sz="8" w:space="0" w:color="auto"/>
            </w:tcBorders>
            <w:vAlign w:val="center"/>
          </w:tcPr>
          <w:p w:rsidR="00000000" w:rsidRDefault="00C40079">
            <w:pPr>
              <w:tabs>
                <w:tab w:val="left" w:pos="360"/>
                <w:tab w:val="left" w:pos="720"/>
                <w:tab w:val="left" w:pos="1080"/>
                <w:tab w:val="left" w:pos="1440"/>
                <w:tab w:val="left" w:pos="1800"/>
                <w:tab w:val="left" w:pos="2160"/>
              </w:tabs>
              <w:jc w:val="center"/>
              <w:rPr>
                <w:sz w:val="24"/>
              </w:rPr>
            </w:pPr>
            <w:r>
              <w:rPr>
                <w:sz w:val="24"/>
              </w:rPr>
              <w:t>North Jersey Transportation</w:t>
            </w:r>
          </w:p>
          <w:p w:rsidR="00000000" w:rsidRDefault="00C40079">
            <w:pPr>
              <w:tabs>
                <w:tab w:val="left" w:pos="360"/>
                <w:tab w:val="left" w:pos="720"/>
                <w:tab w:val="left" w:pos="1080"/>
                <w:tab w:val="left" w:pos="1440"/>
                <w:tab w:val="left" w:pos="1800"/>
                <w:tab w:val="left" w:pos="2160"/>
              </w:tabs>
              <w:jc w:val="center"/>
              <w:rPr>
                <w:sz w:val="24"/>
              </w:rPr>
            </w:pPr>
            <w:r>
              <w:rPr>
                <w:sz w:val="24"/>
              </w:rPr>
              <w:t>Planning Authority</w:t>
            </w:r>
          </w:p>
        </w:tc>
        <w:tc>
          <w:tcPr>
            <w:tcW w:w="1080" w:type="dxa"/>
            <w:tcBorders>
              <w:top w:val="double" w:sz="4" w:space="0" w:color="auto"/>
              <w:left w:val="nil"/>
              <w:right w:val="single" w:sz="8"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Prior</w:t>
            </w:r>
          </w:p>
        </w:tc>
        <w:tc>
          <w:tcPr>
            <w:tcW w:w="1080" w:type="dxa"/>
            <w:tcBorders>
              <w:top w:val="double" w:sz="4" w:space="0" w:color="auto"/>
              <w:left w:val="nil"/>
            </w:tcBorders>
            <w:vAlign w:val="center"/>
          </w:tcPr>
          <w:p w:rsidR="00000000" w:rsidRDefault="00C40079">
            <w:pPr>
              <w:tabs>
                <w:tab w:val="left" w:pos="720"/>
                <w:tab w:val="left" w:pos="1080"/>
                <w:tab w:val="left" w:pos="1440"/>
                <w:tab w:val="left" w:pos="1800"/>
                <w:tab w:val="left" w:pos="2160"/>
              </w:tabs>
              <w:jc w:val="center"/>
              <w:rPr>
                <w:sz w:val="24"/>
              </w:rPr>
            </w:pPr>
            <w:r>
              <w:rPr>
                <w:sz w:val="24"/>
              </w:rPr>
              <w:t>1,550.74</w:t>
            </w:r>
          </w:p>
        </w:tc>
        <w:tc>
          <w:tcPr>
            <w:tcW w:w="1080" w:type="dxa"/>
            <w:tcBorders>
              <w:top w:val="double" w:sz="4" w:space="0" w:color="auto"/>
              <w:bottom w:val="nil"/>
            </w:tcBorders>
            <w:vAlign w:val="center"/>
          </w:tcPr>
          <w:p w:rsidR="00000000" w:rsidRDefault="00C40079">
            <w:pPr>
              <w:tabs>
                <w:tab w:val="left" w:pos="720"/>
                <w:tab w:val="left" w:pos="1080"/>
                <w:tab w:val="left" w:pos="1440"/>
                <w:tab w:val="left" w:pos="1800"/>
                <w:tab w:val="left" w:pos="2160"/>
              </w:tabs>
              <w:jc w:val="center"/>
              <w:rPr>
                <w:sz w:val="24"/>
              </w:rPr>
            </w:pPr>
            <w:r>
              <w:rPr>
                <w:sz w:val="24"/>
              </w:rPr>
              <w:t>783.39</w:t>
            </w:r>
          </w:p>
        </w:tc>
        <w:tc>
          <w:tcPr>
            <w:tcW w:w="900" w:type="dxa"/>
            <w:tcBorders>
              <w:top w:val="double" w:sz="4" w:space="0" w:color="auto"/>
              <w:right w:val="single" w:sz="8"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605.63</w:t>
            </w:r>
          </w:p>
        </w:tc>
        <w:tc>
          <w:tcPr>
            <w:tcW w:w="1260" w:type="dxa"/>
            <w:tcBorders>
              <w:top w:val="double" w:sz="4" w:space="0" w:color="auto"/>
              <w:left w:val="nil"/>
            </w:tcBorders>
            <w:vAlign w:val="center"/>
          </w:tcPr>
          <w:p w:rsidR="00000000" w:rsidRDefault="00C40079">
            <w:pPr>
              <w:tabs>
                <w:tab w:val="left" w:pos="720"/>
                <w:tab w:val="left" w:pos="1080"/>
                <w:tab w:val="left" w:pos="1440"/>
                <w:tab w:val="left" w:pos="1800"/>
                <w:tab w:val="left" w:pos="2160"/>
              </w:tabs>
              <w:jc w:val="center"/>
              <w:rPr>
                <w:sz w:val="24"/>
              </w:rPr>
            </w:pPr>
            <w:r>
              <w:rPr>
                <w:sz w:val="24"/>
              </w:rPr>
              <w:t>148.27</w:t>
            </w:r>
          </w:p>
        </w:tc>
        <w:tc>
          <w:tcPr>
            <w:tcW w:w="1080" w:type="dxa"/>
            <w:tcBorders>
              <w:top w:val="double" w:sz="4" w:space="0" w:color="auto"/>
              <w:right w:val="single" w:sz="8"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125.82</w:t>
            </w:r>
          </w:p>
        </w:tc>
        <w:tc>
          <w:tcPr>
            <w:tcW w:w="1260" w:type="dxa"/>
            <w:tcBorders>
              <w:top w:val="double" w:sz="4" w:space="0" w:color="auto"/>
              <w:left w:val="nil"/>
            </w:tcBorders>
            <w:vAlign w:val="center"/>
          </w:tcPr>
          <w:p w:rsidR="00000000" w:rsidRDefault="00C40079">
            <w:pPr>
              <w:tabs>
                <w:tab w:val="left" w:pos="720"/>
                <w:tab w:val="left" w:pos="1080"/>
                <w:tab w:val="left" w:pos="1440"/>
                <w:tab w:val="left" w:pos="1800"/>
                <w:tab w:val="left" w:pos="2160"/>
              </w:tabs>
              <w:jc w:val="center"/>
              <w:rPr>
                <w:sz w:val="24"/>
                <w:vertAlign w:val="superscript"/>
              </w:rPr>
            </w:pPr>
            <w:r>
              <w:rPr>
                <w:sz w:val="24"/>
              </w:rPr>
              <w:t>253.05</w:t>
            </w:r>
          </w:p>
        </w:tc>
        <w:tc>
          <w:tcPr>
            <w:tcW w:w="1080" w:type="dxa"/>
            <w:tcBorders>
              <w:top w:val="double" w:sz="4" w:space="0" w:color="auto"/>
            </w:tcBorders>
            <w:vAlign w:val="center"/>
          </w:tcPr>
          <w:p w:rsidR="00000000" w:rsidRDefault="00C40079">
            <w:pPr>
              <w:tabs>
                <w:tab w:val="left" w:pos="720"/>
                <w:tab w:val="left" w:pos="1080"/>
                <w:tab w:val="left" w:pos="1440"/>
                <w:tab w:val="left" w:pos="1800"/>
                <w:tab w:val="left" w:pos="2160"/>
              </w:tabs>
              <w:jc w:val="center"/>
              <w:rPr>
                <w:sz w:val="24"/>
                <w:vertAlign w:val="superscript"/>
              </w:rPr>
            </w:pPr>
            <w:r>
              <w:rPr>
                <w:sz w:val="24"/>
              </w:rPr>
              <w:t>198.34</w:t>
            </w:r>
          </w:p>
        </w:tc>
      </w:tr>
      <w:tr w:rsidR="00000000">
        <w:tblPrEx>
          <w:tblCellMar>
            <w:top w:w="0" w:type="dxa"/>
            <w:bottom w:w="0" w:type="dxa"/>
          </w:tblCellMar>
        </w:tblPrEx>
        <w:trPr>
          <w:cantSplit/>
          <w:trHeight w:val="800"/>
        </w:trPr>
        <w:tc>
          <w:tcPr>
            <w:tcW w:w="1980" w:type="dxa"/>
            <w:vMerge/>
            <w:tcBorders>
              <w:bottom w:val="double" w:sz="4" w:space="0" w:color="auto"/>
              <w:right w:val="single" w:sz="8" w:space="0" w:color="auto"/>
            </w:tcBorders>
            <w:vAlign w:val="center"/>
          </w:tcPr>
          <w:p w:rsidR="00000000" w:rsidRDefault="00C40079">
            <w:pPr>
              <w:tabs>
                <w:tab w:val="left" w:pos="360"/>
                <w:tab w:val="left" w:pos="720"/>
                <w:tab w:val="left" w:pos="1080"/>
                <w:tab w:val="left" w:pos="1440"/>
                <w:tab w:val="left" w:pos="1800"/>
                <w:tab w:val="left" w:pos="2160"/>
              </w:tabs>
              <w:jc w:val="center"/>
              <w:rPr>
                <w:sz w:val="24"/>
              </w:rPr>
            </w:pPr>
          </w:p>
        </w:tc>
        <w:tc>
          <w:tcPr>
            <w:tcW w:w="1080" w:type="dxa"/>
            <w:tcBorders>
              <w:left w:val="nil"/>
              <w:bottom w:val="double" w:sz="4" w:space="0" w:color="auto"/>
              <w:right w:val="single" w:sz="8"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Updated</w:t>
            </w:r>
          </w:p>
        </w:tc>
        <w:tc>
          <w:tcPr>
            <w:tcW w:w="1080" w:type="dxa"/>
            <w:tcBorders>
              <w:left w:val="nil"/>
              <w:bottom w:val="double" w:sz="4"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Not Updated</w:t>
            </w:r>
          </w:p>
        </w:tc>
        <w:tc>
          <w:tcPr>
            <w:tcW w:w="1080" w:type="dxa"/>
            <w:tcBorders>
              <w:top w:val="single" w:sz="2" w:space="0" w:color="auto"/>
              <w:bottom w:val="double" w:sz="4"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1,150.99</w:t>
            </w:r>
          </w:p>
        </w:tc>
        <w:tc>
          <w:tcPr>
            <w:tcW w:w="900" w:type="dxa"/>
            <w:tcBorders>
              <w:bottom w:val="double" w:sz="4" w:space="0" w:color="auto"/>
              <w:right w:val="single" w:sz="8"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899.01</w:t>
            </w:r>
          </w:p>
        </w:tc>
        <w:tc>
          <w:tcPr>
            <w:tcW w:w="1260" w:type="dxa"/>
            <w:tcBorders>
              <w:left w:val="nil"/>
              <w:bottom w:val="double" w:sz="4"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146.3</w:t>
            </w:r>
            <w:r>
              <w:rPr>
                <w:sz w:val="24"/>
              </w:rPr>
              <w:t>3</w:t>
            </w:r>
          </w:p>
        </w:tc>
        <w:tc>
          <w:tcPr>
            <w:tcW w:w="1080" w:type="dxa"/>
            <w:tcBorders>
              <w:bottom w:val="double" w:sz="4" w:space="0" w:color="auto"/>
              <w:right w:val="single" w:sz="8"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122.53</w:t>
            </w:r>
          </w:p>
        </w:tc>
        <w:tc>
          <w:tcPr>
            <w:tcW w:w="1260" w:type="dxa"/>
            <w:tcBorders>
              <w:left w:val="nil"/>
              <w:bottom w:val="double" w:sz="4"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327.83</w:t>
            </w:r>
          </w:p>
        </w:tc>
        <w:tc>
          <w:tcPr>
            <w:tcW w:w="1080" w:type="dxa"/>
            <w:tcBorders>
              <w:bottom w:val="double" w:sz="4"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256.58</w:t>
            </w:r>
          </w:p>
        </w:tc>
      </w:tr>
    </w:tbl>
    <w:p w:rsidR="00000000" w:rsidRDefault="00C40079">
      <w:pPr>
        <w:tabs>
          <w:tab w:val="left" w:pos="720"/>
          <w:tab w:val="left" w:pos="1080"/>
          <w:tab w:val="left" w:pos="1440"/>
          <w:tab w:val="left" w:pos="1800"/>
          <w:tab w:val="left" w:pos="2160"/>
        </w:tabs>
        <w:rPr>
          <w:sz w:val="22"/>
        </w:rPr>
      </w:pPr>
      <w:r>
        <w:rPr>
          <w:sz w:val="22"/>
        </w:rPr>
        <w:t>NOTES:</w:t>
      </w:r>
    </w:p>
    <w:p w:rsidR="00000000" w:rsidRDefault="00C40079">
      <w:pPr>
        <w:numPr>
          <w:ilvl w:val="0"/>
          <w:numId w:val="4"/>
        </w:numPr>
        <w:tabs>
          <w:tab w:val="left" w:pos="720"/>
          <w:tab w:val="left" w:pos="1080"/>
          <w:tab w:val="left" w:pos="1440"/>
          <w:tab w:val="left" w:pos="1800"/>
          <w:tab w:val="left" w:pos="2160"/>
        </w:tabs>
        <w:rPr>
          <w:sz w:val="22"/>
        </w:rPr>
      </w:pPr>
      <w:r>
        <w:rPr>
          <w:sz w:val="22"/>
        </w:rPr>
        <w:t>For Passaic, Bergen, Essex, Hudson and Union counties.</w:t>
      </w:r>
    </w:p>
    <w:p w:rsidR="00000000" w:rsidRDefault="00C40079">
      <w:pPr>
        <w:numPr>
          <w:ilvl w:val="0"/>
          <w:numId w:val="4"/>
        </w:numPr>
        <w:tabs>
          <w:tab w:val="left" w:pos="720"/>
          <w:tab w:val="left" w:pos="1080"/>
          <w:tab w:val="left" w:pos="1440"/>
          <w:tab w:val="left" w:pos="1800"/>
          <w:tab w:val="left" w:pos="2160"/>
        </w:tabs>
        <w:rPr>
          <w:sz w:val="22"/>
        </w:rPr>
      </w:pPr>
      <w:r>
        <w:rPr>
          <w:sz w:val="22"/>
        </w:rPr>
        <w:t>For all counties within the Metropolitan Planning Organization.</w:t>
      </w:r>
    </w:p>
    <w:p w:rsidR="00000000" w:rsidRDefault="00C40079">
      <w:pPr>
        <w:tabs>
          <w:tab w:val="left" w:pos="720"/>
          <w:tab w:val="left" w:pos="1080"/>
          <w:tab w:val="left" w:pos="1440"/>
          <w:tab w:val="left" w:pos="1800"/>
          <w:tab w:val="left" w:pos="2160"/>
        </w:tabs>
        <w:ind w:firstLine="720"/>
        <w:jc w:val="center"/>
        <w:rPr>
          <w:sz w:val="24"/>
        </w:rPr>
      </w:pPr>
    </w:p>
    <w:p w:rsidR="00000000" w:rsidRDefault="00C40079">
      <w:pPr>
        <w:tabs>
          <w:tab w:val="left" w:pos="720"/>
          <w:tab w:val="left" w:pos="1080"/>
          <w:tab w:val="left" w:pos="1440"/>
          <w:tab w:val="left" w:pos="1800"/>
          <w:tab w:val="left" w:pos="2160"/>
          <w:tab w:val="left" w:pos="4680"/>
        </w:tabs>
        <w:rPr>
          <w:sz w:val="24"/>
        </w:rPr>
      </w:pPr>
      <w:r>
        <w:rPr>
          <w:sz w:val="24"/>
        </w:rPr>
        <w:t>Transportation conformity emission budgets for carbon monoxide are updated to include a safety margin but</w:t>
      </w:r>
      <w:r>
        <w:rPr>
          <w:sz w:val="24"/>
        </w:rPr>
        <w:t xml:space="preserve"> were not recalculated to include the latest planning assumptions.  This proposed SIP revision does not affect any of the planned or implemented control measures for carbon monoxide, VOCs, and NO</w:t>
      </w:r>
      <w:r>
        <w:rPr>
          <w:sz w:val="24"/>
          <w:vertAlign w:val="subscript"/>
        </w:rPr>
        <w:t>x</w:t>
      </w:r>
      <w:r>
        <w:rPr>
          <w:sz w:val="24"/>
        </w:rPr>
        <w:t>.  In addition, the updated budgets do not result in backsli</w:t>
      </w:r>
      <w:r>
        <w:rPr>
          <w:sz w:val="24"/>
        </w:rPr>
        <w:t xml:space="preserve">ding on New Jersey’s plans to address the 1-hour ozone NAAQS and maintain attainment of the carbon monoxide standard.  </w:t>
      </w:r>
    </w:p>
    <w:p w:rsidR="00000000" w:rsidRDefault="00C40079">
      <w:pPr>
        <w:pStyle w:val="Level2"/>
        <w:widowControl/>
        <w:tabs>
          <w:tab w:val="left" w:pos="720"/>
          <w:tab w:val="left" w:pos="1080"/>
          <w:tab w:val="left" w:pos="1440"/>
          <w:tab w:val="left" w:pos="1800"/>
          <w:tab w:val="left" w:pos="2160"/>
        </w:tabs>
      </w:pPr>
      <w:r>
        <w:lastRenderedPageBreak/>
        <w:t>The carbon monoxide budgets were updated to incorporate the “margin of safety” provisions of the USEPA’s transportation conformity rule</w:t>
      </w:r>
      <w:r>
        <w:rPr>
          <w:rStyle w:val="FootnoteReference"/>
          <w:vertAlign w:val="superscript"/>
        </w:rPr>
        <w:footnoteReference w:id="2"/>
      </w:r>
      <w:r>
        <w:t>.  The safety margin is the difference between the attainment year total emissions and future year total emissions.  This safety margin was applied to the existing North Jersey Transportation Planning Authority carbon monoxide budgets for 2007 and 2014.</w:t>
      </w:r>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A</w:t>
      </w:r>
      <w:r>
        <w:t>ctual measured carbon monoxide concentrations have been steadily decreasing over the last thirty years as a likely consequence of improvements in motor vehicle emission technology.  Onroad mobile sources have historically contributed the largest portion of</w:t>
      </w:r>
      <w:r>
        <w:t xml:space="preserve"> the carbon monoxide inventory in New Jersey relative to the other source sectors.  The last time the carbon monoxide NAAQS was exceeded in New Jersey was in January of 1995.  The monitored carbon monoxide levels have trended downward so that the maximum m</w:t>
      </w:r>
      <w:r>
        <w:t xml:space="preserve">easured values are currently about one-half of the NAAQS level.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 xml:space="preserve">The use of the updated budgets for transportation conformity determinations will continue to achieve the goal of the maintenance of the NAAQS for carbon monoxide.  The updates to the carbon </w:t>
      </w:r>
      <w:r>
        <w:t>monoxide budgets do not affect the conclusions of the carbon monoxide maintenance plan for the New Jersey portion of the New York City/Northern New Jersey/Long Island area.</w:t>
      </w:r>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rPr>
          <w:u w:val="single"/>
        </w:rPr>
        <w:t>McGuire Air Force Base General Conformity Budget Amendment</w:t>
      </w:r>
      <w:r>
        <w:t>:</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McGuire Air Force Bas</w:t>
      </w:r>
      <w:r>
        <w:t>e currently has a 1-hour ozone general conformity budget.  As noted previously, the USEPA revoked the 1-hour ozone standard for the nation on June 15, 2005, as the newly established 8-hour ozone standard superseded it.  McGuire Air Force Base has agreed to</w:t>
      </w:r>
      <w:r>
        <w:t xml:space="preserve"> live within its 1-hour ozone budget until such time as a new budget is established under the 8-hour ozone standard, with one condition.  McGuire Air Force Base requests that the State allow it to reapportion additional VOC reductions from its VOC budget t</w:t>
      </w:r>
      <w:r>
        <w:t>o its NO</w:t>
      </w:r>
      <w:r>
        <w:rPr>
          <w:vertAlign w:val="subscript"/>
        </w:rPr>
        <w:t>x</w:t>
      </w:r>
      <w:r>
        <w:t xml:space="preserve"> budget to accommodate anticipated mission changes for the McGuire Air Force Base.  Specifically, McGuire Air Force Base proposes to increase its existing NO</w:t>
      </w:r>
      <w:r>
        <w:rPr>
          <w:vertAlign w:val="subscript"/>
        </w:rPr>
        <w:t>x</w:t>
      </w:r>
      <w:r>
        <w:t xml:space="preserve"> budget by 450 tons per year by decreasing its VOC budget by 468 tons per year.  Previous</w:t>
      </w:r>
      <w:r>
        <w:t>ly, USEPA approved</w:t>
      </w:r>
      <w:r>
        <w:rPr>
          <w:rStyle w:val="FootnoteReference"/>
          <w:vertAlign w:val="superscript"/>
        </w:rPr>
        <w:footnoteReference w:id="3"/>
      </w:r>
      <w:r>
        <w:t xml:space="preserve"> a similar reapportionment at McGuire Air Force Base in 2003.  The VOC/NO</w:t>
      </w:r>
      <w:r>
        <w:rPr>
          <w:rFonts w:ascii="Times New (W1)" w:hAnsi="Times New (W1)"/>
          <w:vertAlign w:val="subscript"/>
        </w:rPr>
        <w:t>x</w:t>
      </w:r>
      <w:r>
        <w:t xml:space="preserve"> emission ratio (1.04)</w:t>
      </w:r>
      <w:r>
        <w:rPr>
          <w:b/>
        </w:rPr>
        <w:t xml:space="preserve"> </w:t>
      </w:r>
      <w:r>
        <w:t>was derived from the 1-hour ozone attainment demonstration for the area.  Table ES3 contains updated emission budget information for McGuire</w:t>
      </w:r>
      <w:r>
        <w:t xml:space="preserve"> Air Force Base.</w:t>
      </w:r>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rPr>
          <w:u w:val="single"/>
        </w:rPr>
        <w:t>Fine Particulate Matter Transportation Conformity Budget for the New Jersey Portion of the New York/New Jersey/Long Island/Connecticut Nonattainment Area</w:t>
      </w:r>
      <w:r>
        <w:t>:</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New Jersey is proposing to establish early transportation conformity emission budg</w:t>
      </w:r>
      <w:r>
        <w:t>ets for directly emitted fine particulate matter (direct PM</w:t>
      </w:r>
      <w:r>
        <w:rPr>
          <w:vertAlign w:val="subscript"/>
        </w:rPr>
        <w:t>2.5</w:t>
      </w:r>
      <w:r>
        <w:t>) and annual NO</w:t>
      </w:r>
      <w:r>
        <w:rPr>
          <w:vertAlign w:val="subscript"/>
        </w:rPr>
        <w:t>x</w:t>
      </w:r>
      <w:r>
        <w:t xml:space="preserve"> (a PM</w:t>
      </w:r>
      <w:r>
        <w:rPr>
          <w:vertAlign w:val="subscript"/>
        </w:rPr>
        <w:t>2.5</w:t>
      </w:r>
      <w:r>
        <w:t xml:space="preserve"> precursor) for the New Jersey portion of the New York/New Jersey/Long Island/Connecticut PM</w:t>
      </w:r>
      <w:r>
        <w:rPr>
          <w:vertAlign w:val="subscript"/>
        </w:rPr>
        <w:t>2.5</w:t>
      </w:r>
      <w:r>
        <w:t xml:space="preserve"> nonattainment area.  The USEPA is allowing areas to establish early budge</w:t>
      </w:r>
      <w:r>
        <w:t>ts as an alternative to other interim conformity tests prior to submittal of the PM</w:t>
      </w:r>
      <w:r>
        <w:rPr>
          <w:vertAlign w:val="subscript"/>
        </w:rPr>
        <w:t>2.5</w:t>
      </w:r>
      <w:r>
        <w:t xml:space="preserve"> attainment demonstration in April 2008.  To establish an early budget, an area must meet certain criteria defined by the USEPA.  The New Jersey portion of the New York/N</w:t>
      </w:r>
      <w:r>
        <w:t>ew Jersey/Long Island/Connecticut PM</w:t>
      </w:r>
      <w:r>
        <w:rPr>
          <w:rFonts w:ascii="Times New (W1)" w:hAnsi="Times New (W1)"/>
          <w:vertAlign w:val="subscript"/>
        </w:rPr>
        <w:t>2.5</w:t>
      </w:r>
      <w:r>
        <w:t xml:space="preserve"> nonattainment area </w:t>
      </w:r>
      <w:r>
        <w:lastRenderedPageBreak/>
        <w:t>meets the criteria.  The use at the proposed budget is expected to be more air quality constraining than the choice of using either of the two other interim conformity tests.  Once found to be adeq</w:t>
      </w:r>
      <w:r>
        <w:t>uate, these early PM</w:t>
      </w:r>
      <w:r>
        <w:rPr>
          <w:vertAlign w:val="subscript"/>
        </w:rPr>
        <w:t>2.5</w:t>
      </w:r>
      <w:r>
        <w:t xml:space="preserve"> budgets must be used by the Metropolitan Planning Organizations during the interim period prior to the establishment of PM</w:t>
      </w:r>
      <w:r>
        <w:rPr>
          <w:vertAlign w:val="subscript"/>
        </w:rPr>
        <w:t>2.5</w:t>
      </w:r>
      <w:r>
        <w:t xml:space="preserve"> budgets with the PM</w:t>
      </w:r>
      <w:r>
        <w:rPr>
          <w:vertAlign w:val="subscript"/>
        </w:rPr>
        <w:t>2.5</w:t>
      </w:r>
      <w:r>
        <w:t xml:space="preserve"> attainment demonstration SIP.  </w:t>
      </w:r>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widowControl/>
        <w:tabs>
          <w:tab w:val="left" w:pos="720"/>
          <w:tab w:val="left" w:pos="1080"/>
          <w:tab w:val="left" w:pos="1440"/>
          <w:tab w:val="left" w:pos="1800"/>
          <w:tab w:val="left" w:pos="2160"/>
        </w:tabs>
        <w:jc w:val="center"/>
        <w:rPr>
          <w:b/>
        </w:rPr>
      </w:pPr>
      <w:bookmarkStart w:id="73" w:name="Table_ES3"/>
      <w:bookmarkStart w:id="74" w:name="_Hlt126635648"/>
      <w:bookmarkEnd w:id="74"/>
      <w:r>
        <w:rPr>
          <w:b/>
        </w:rPr>
        <w:t>Table ES3</w:t>
      </w:r>
      <w:bookmarkEnd w:id="73"/>
    </w:p>
    <w:p w:rsidR="00000000" w:rsidRDefault="00C40079">
      <w:pPr>
        <w:pStyle w:val="Level2"/>
        <w:widowControl/>
        <w:tabs>
          <w:tab w:val="left" w:pos="720"/>
          <w:tab w:val="left" w:pos="1080"/>
          <w:tab w:val="left" w:pos="1440"/>
          <w:tab w:val="left" w:pos="1800"/>
          <w:tab w:val="left" w:pos="2160"/>
        </w:tabs>
        <w:jc w:val="center"/>
        <w:rPr>
          <w:b/>
        </w:rPr>
      </w:pPr>
      <w:r>
        <w:rPr>
          <w:b/>
        </w:rPr>
        <w:t xml:space="preserve">Emission Budgets for McGuire Air Force </w:t>
      </w:r>
      <w:r>
        <w:rPr>
          <w:b/>
        </w:rPr>
        <w:t>Base</w:t>
      </w:r>
    </w:p>
    <w:p w:rsidR="00000000" w:rsidRDefault="00C40079">
      <w:pPr>
        <w:pStyle w:val="Level2"/>
        <w:widowControl/>
        <w:tabs>
          <w:tab w:val="left" w:pos="720"/>
          <w:tab w:val="left" w:pos="1080"/>
          <w:tab w:val="left" w:pos="1440"/>
          <w:tab w:val="left" w:pos="1800"/>
          <w:tab w:val="left" w:pos="2160"/>
        </w:tabs>
      </w:pPr>
    </w:p>
    <w:tbl>
      <w:tblPr>
        <w:tblW w:w="0" w:type="auto"/>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CellMar>
          <w:left w:w="81" w:type="dxa"/>
          <w:right w:w="81" w:type="dxa"/>
        </w:tblCellMar>
        <w:tblLook w:val="0000" w:firstRow="0" w:lastRow="0" w:firstColumn="0" w:lastColumn="0" w:noHBand="0" w:noVBand="0"/>
      </w:tblPr>
      <w:tblGrid>
        <w:gridCol w:w="1823"/>
        <w:gridCol w:w="1620"/>
        <w:gridCol w:w="1620"/>
        <w:gridCol w:w="1800"/>
        <w:gridCol w:w="1822"/>
      </w:tblGrid>
      <w:tr w:rsidR="00000000">
        <w:tblPrEx>
          <w:tblCellMar>
            <w:top w:w="0" w:type="dxa"/>
            <w:bottom w:w="0" w:type="dxa"/>
          </w:tblCellMar>
        </w:tblPrEx>
        <w:trPr>
          <w:cantSplit/>
          <w:trHeight w:val="492"/>
          <w:jc w:val="center"/>
        </w:trPr>
        <w:tc>
          <w:tcPr>
            <w:tcW w:w="1823" w:type="dxa"/>
            <w:tcBorders>
              <w:top w:val="double" w:sz="4" w:space="0" w:color="auto"/>
              <w:left w:val="double" w:sz="4" w:space="0" w:color="auto"/>
              <w:bottom w:val="nil"/>
            </w:tcBorders>
            <w:shd w:val="pct5" w:color="auto" w:fill="FFFFFF"/>
            <w:vAlign w:val="bottom"/>
          </w:tcPr>
          <w:p w:rsidR="00000000" w:rsidRDefault="00C40079">
            <w:pPr>
              <w:tabs>
                <w:tab w:val="left" w:pos="720"/>
                <w:tab w:val="left" w:pos="1080"/>
                <w:tab w:val="left" w:pos="1440"/>
                <w:tab w:val="left" w:pos="1800"/>
                <w:tab w:val="left" w:pos="2160"/>
              </w:tabs>
              <w:spacing w:before="93" w:after="48"/>
              <w:rPr>
                <w:sz w:val="24"/>
              </w:rPr>
            </w:pPr>
          </w:p>
        </w:tc>
        <w:tc>
          <w:tcPr>
            <w:tcW w:w="3240" w:type="dxa"/>
            <w:gridSpan w:val="2"/>
            <w:tcBorders>
              <w:top w:val="double" w:sz="4" w:space="0" w:color="auto"/>
              <w:bottom w:val="nil"/>
            </w:tcBorders>
            <w:shd w:val="pct5" w:color="auto" w:fill="FFFFFF"/>
            <w:vAlign w:val="center"/>
          </w:tcPr>
          <w:p w:rsidR="00000000" w:rsidRDefault="00C40079">
            <w:pPr>
              <w:pStyle w:val="Heading4"/>
              <w:numPr>
                <w:ilvl w:val="0"/>
                <w:numId w:val="0"/>
              </w:numPr>
              <w:tabs>
                <w:tab w:val="left" w:pos="720"/>
                <w:tab w:val="left" w:pos="1080"/>
                <w:tab w:val="left" w:pos="1440"/>
                <w:tab w:val="left" w:pos="1800"/>
                <w:tab w:val="left" w:pos="2160"/>
              </w:tabs>
              <w:spacing w:before="93"/>
              <w:jc w:val="center"/>
            </w:pPr>
            <w:r>
              <w:t>Prior Budget</w:t>
            </w:r>
          </w:p>
        </w:tc>
        <w:tc>
          <w:tcPr>
            <w:tcW w:w="3622" w:type="dxa"/>
            <w:gridSpan w:val="2"/>
            <w:tcBorders>
              <w:top w:val="double" w:sz="4" w:space="0" w:color="auto"/>
              <w:bottom w:val="nil"/>
              <w:right w:val="double" w:sz="4" w:space="0" w:color="auto"/>
            </w:tcBorders>
            <w:shd w:val="pct5" w:color="auto" w:fill="FFFFFF"/>
            <w:vAlign w:val="center"/>
          </w:tcPr>
          <w:p w:rsidR="00000000" w:rsidRDefault="00C40079">
            <w:pPr>
              <w:tabs>
                <w:tab w:val="left" w:pos="720"/>
                <w:tab w:val="left" w:pos="1080"/>
                <w:tab w:val="left" w:pos="1440"/>
                <w:tab w:val="left" w:pos="1800"/>
                <w:tab w:val="left" w:pos="2160"/>
              </w:tabs>
              <w:spacing w:before="93"/>
              <w:jc w:val="center"/>
              <w:rPr>
                <w:b/>
                <w:sz w:val="24"/>
              </w:rPr>
            </w:pPr>
            <w:r>
              <w:rPr>
                <w:b/>
                <w:sz w:val="24"/>
              </w:rPr>
              <w:t>Updated Budget to Accommodate Additional Aircraft</w:t>
            </w:r>
          </w:p>
        </w:tc>
      </w:tr>
      <w:tr w:rsidR="00000000">
        <w:tblPrEx>
          <w:tblCellMar>
            <w:top w:w="0" w:type="dxa"/>
            <w:bottom w:w="0" w:type="dxa"/>
          </w:tblCellMar>
        </w:tblPrEx>
        <w:trPr>
          <w:cantSplit/>
          <w:trHeight w:val="633"/>
          <w:jc w:val="center"/>
        </w:trPr>
        <w:tc>
          <w:tcPr>
            <w:tcW w:w="1823" w:type="dxa"/>
            <w:tcBorders>
              <w:top w:val="nil"/>
              <w:left w:val="double" w:sz="4" w:space="0" w:color="auto"/>
              <w:bottom w:val="double" w:sz="4" w:space="0" w:color="auto"/>
            </w:tcBorders>
            <w:shd w:val="pct10" w:color="auto" w:fill="FFFFFF"/>
            <w:vAlign w:val="bottom"/>
          </w:tcPr>
          <w:p w:rsidR="00000000" w:rsidRDefault="00C40079">
            <w:pPr>
              <w:tabs>
                <w:tab w:val="left" w:pos="720"/>
                <w:tab w:val="left" w:pos="1080"/>
                <w:tab w:val="left" w:pos="1440"/>
                <w:tab w:val="left" w:pos="1800"/>
                <w:tab w:val="left" w:pos="2160"/>
              </w:tabs>
              <w:spacing w:before="93" w:after="48"/>
              <w:rPr>
                <w:sz w:val="24"/>
              </w:rPr>
            </w:pPr>
          </w:p>
        </w:tc>
        <w:tc>
          <w:tcPr>
            <w:tcW w:w="1620" w:type="dxa"/>
            <w:tcBorders>
              <w:top w:val="nil"/>
              <w:bottom w:val="double" w:sz="4" w:space="0" w:color="auto"/>
            </w:tcBorders>
            <w:shd w:val="pct10" w:color="auto" w:fill="FFFFFF"/>
            <w:vAlign w:val="bottom"/>
          </w:tcPr>
          <w:p w:rsidR="00000000" w:rsidRDefault="00C40079">
            <w:pPr>
              <w:tabs>
                <w:tab w:val="left" w:pos="720"/>
                <w:tab w:val="left" w:pos="1080"/>
                <w:tab w:val="left" w:pos="1440"/>
                <w:tab w:val="left" w:pos="1800"/>
                <w:tab w:val="left" w:pos="2160"/>
              </w:tabs>
              <w:spacing w:before="93" w:after="48"/>
              <w:jc w:val="center"/>
              <w:rPr>
                <w:b/>
                <w:sz w:val="24"/>
              </w:rPr>
            </w:pPr>
            <w:r>
              <w:rPr>
                <w:b/>
                <w:sz w:val="24"/>
              </w:rPr>
              <w:t>VOC (Tons/Year)</w:t>
            </w:r>
          </w:p>
        </w:tc>
        <w:tc>
          <w:tcPr>
            <w:tcW w:w="1620" w:type="dxa"/>
            <w:tcBorders>
              <w:top w:val="nil"/>
              <w:bottom w:val="double" w:sz="4" w:space="0" w:color="auto"/>
            </w:tcBorders>
            <w:shd w:val="pct10" w:color="auto" w:fill="FFFFFF"/>
          </w:tcPr>
          <w:p w:rsidR="00000000" w:rsidRDefault="00C40079">
            <w:pPr>
              <w:tabs>
                <w:tab w:val="left" w:pos="720"/>
                <w:tab w:val="left" w:pos="1080"/>
                <w:tab w:val="left" w:pos="1440"/>
                <w:tab w:val="left" w:pos="1800"/>
                <w:tab w:val="left" w:pos="2160"/>
              </w:tabs>
              <w:spacing w:before="93"/>
              <w:jc w:val="center"/>
              <w:rPr>
                <w:b/>
                <w:sz w:val="24"/>
              </w:rPr>
            </w:pPr>
            <w:r>
              <w:rPr>
                <w:b/>
                <w:sz w:val="24"/>
              </w:rPr>
              <w:t>NO</w:t>
            </w:r>
            <w:r>
              <w:rPr>
                <w:b/>
                <w:sz w:val="24"/>
                <w:vertAlign w:val="subscript"/>
              </w:rPr>
              <w:t>x</w:t>
            </w:r>
          </w:p>
          <w:p w:rsidR="00000000" w:rsidRDefault="00C40079">
            <w:pPr>
              <w:tabs>
                <w:tab w:val="left" w:pos="720"/>
                <w:tab w:val="left" w:pos="1080"/>
                <w:tab w:val="left" w:pos="1440"/>
                <w:tab w:val="left" w:pos="1800"/>
                <w:tab w:val="left" w:pos="2160"/>
              </w:tabs>
              <w:spacing w:after="48"/>
              <w:jc w:val="center"/>
              <w:rPr>
                <w:b/>
                <w:sz w:val="24"/>
              </w:rPr>
            </w:pPr>
            <w:r>
              <w:rPr>
                <w:b/>
                <w:sz w:val="24"/>
              </w:rPr>
              <w:t>(Tons/Year)</w:t>
            </w:r>
          </w:p>
        </w:tc>
        <w:tc>
          <w:tcPr>
            <w:tcW w:w="1800" w:type="dxa"/>
            <w:tcBorders>
              <w:top w:val="nil"/>
              <w:bottom w:val="double" w:sz="4" w:space="0" w:color="auto"/>
            </w:tcBorders>
            <w:shd w:val="pct10" w:color="auto" w:fill="FFFFFF"/>
          </w:tcPr>
          <w:p w:rsidR="00000000" w:rsidRDefault="00C40079">
            <w:pPr>
              <w:tabs>
                <w:tab w:val="left" w:pos="720"/>
                <w:tab w:val="left" w:pos="1080"/>
                <w:tab w:val="left" w:pos="1440"/>
                <w:tab w:val="left" w:pos="1800"/>
                <w:tab w:val="left" w:pos="2160"/>
              </w:tabs>
              <w:spacing w:before="93" w:after="48"/>
              <w:jc w:val="center"/>
              <w:rPr>
                <w:b/>
                <w:sz w:val="24"/>
              </w:rPr>
            </w:pPr>
            <w:r>
              <w:rPr>
                <w:b/>
                <w:sz w:val="24"/>
              </w:rPr>
              <w:t>VOC (Tons/Year)</w:t>
            </w:r>
          </w:p>
        </w:tc>
        <w:tc>
          <w:tcPr>
            <w:tcW w:w="1822" w:type="dxa"/>
            <w:tcBorders>
              <w:top w:val="nil"/>
              <w:bottom w:val="double" w:sz="4" w:space="0" w:color="auto"/>
              <w:right w:val="double" w:sz="4" w:space="0" w:color="auto"/>
            </w:tcBorders>
            <w:shd w:val="pct10" w:color="auto" w:fill="FFFFFF"/>
            <w:vAlign w:val="bottom"/>
          </w:tcPr>
          <w:p w:rsidR="00000000" w:rsidRDefault="00C40079">
            <w:pPr>
              <w:tabs>
                <w:tab w:val="left" w:pos="720"/>
                <w:tab w:val="left" w:pos="1080"/>
                <w:tab w:val="left" w:pos="1440"/>
                <w:tab w:val="left" w:pos="1800"/>
                <w:tab w:val="left" w:pos="2160"/>
              </w:tabs>
              <w:spacing w:before="93"/>
              <w:jc w:val="center"/>
              <w:rPr>
                <w:b/>
                <w:sz w:val="24"/>
              </w:rPr>
            </w:pPr>
            <w:r>
              <w:rPr>
                <w:b/>
                <w:sz w:val="24"/>
              </w:rPr>
              <w:t>NO</w:t>
            </w:r>
            <w:r>
              <w:rPr>
                <w:b/>
                <w:sz w:val="24"/>
                <w:vertAlign w:val="subscript"/>
              </w:rPr>
              <w:t>x</w:t>
            </w:r>
          </w:p>
          <w:p w:rsidR="00000000" w:rsidRDefault="00C40079">
            <w:pPr>
              <w:tabs>
                <w:tab w:val="left" w:pos="720"/>
                <w:tab w:val="left" w:pos="1080"/>
                <w:tab w:val="left" w:pos="1440"/>
                <w:tab w:val="left" w:pos="1800"/>
                <w:tab w:val="left" w:pos="2160"/>
              </w:tabs>
              <w:spacing w:after="48"/>
              <w:jc w:val="center"/>
              <w:rPr>
                <w:b/>
                <w:sz w:val="24"/>
              </w:rPr>
            </w:pPr>
            <w:r>
              <w:rPr>
                <w:b/>
                <w:sz w:val="24"/>
              </w:rPr>
              <w:t>(Tons/Year)</w:t>
            </w:r>
          </w:p>
        </w:tc>
      </w:tr>
      <w:tr w:rsidR="00000000">
        <w:tblPrEx>
          <w:tblCellMar>
            <w:top w:w="0" w:type="dxa"/>
            <w:bottom w:w="0" w:type="dxa"/>
          </w:tblCellMar>
        </w:tblPrEx>
        <w:trPr>
          <w:cantSplit/>
          <w:jc w:val="center"/>
        </w:trPr>
        <w:tc>
          <w:tcPr>
            <w:tcW w:w="1823" w:type="dxa"/>
            <w:tcBorders>
              <w:top w:val="double" w:sz="4" w:space="0" w:color="auto"/>
              <w:left w:val="double" w:sz="4" w:space="0" w:color="auto"/>
            </w:tcBorders>
            <w:vAlign w:val="center"/>
          </w:tcPr>
          <w:p w:rsidR="00000000" w:rsidRDefault="00C40079">
            <w:pPr>
              <w:pStyle w:val="Heading4"/>
              <w:numPr>
                <w:ilvl w:val="0"/>
                <w:numId w:val="0"/>
              </w:numPr>
              <w:tabs>
                <w:tab w:val="left" w:pos="720"/>
                <w:tab w:val="left" w:pos="1080"/>
                <w:tab w:val="left" w:pos="1440"/>
                <w:tab w:val="left" w:pos="1800"/>
                <w:tab w:val="left" w:pos="2160"/>
              </w:tabs>
              <w:jc w:val="center"/>
            </w:pPr>
            <w:r>
              <w:t>1990 Baseline</w:t>
            </w:r>
          </w:p>
        </w:tc>
        <w:tc>
          <w:tcPr>
            <w:tcW w:w="1620" w:type="dxa"/>
            <w:tcBorders>
              <w:top w:val="double" w:sz="4" w:space="0" w:color="auto"/>
            </w:tcBorders>
            <w:vAlign w:val="bottom"/>
          </w:tcPr>
          <w:p w:rsidR="00000000" w:rsidRDefault="00C40079">
            <w:pPr>
              <w:tabs>
                <w:tab w:val="left" w:pos="720"/>
                <w:tab w:val="left" w:pos="1080"/>
                <w:tab w:val="left" w:pos="1440"/>
                <w:tab w:val="left" w:pos="1800"/>
                <w:tab w:val="left" w:pos="2160"/>
              </w:tabs>
              <w:spacing w:before="93" w:after="48"/>
              <w:jc w:val="center"/>
              <w:rPr>
                <w:sz w:val="24"/>
              </w:rPr>
            </w:pPr>
            <w:r>
              <w:rPr>
                <w:sz w:val="24"/>
              </w:rPr>
              <w:t>1,112</w:t>
            </w:r>
          </w:p>
        </w:tc>
        <w:tc>
          <w:tcPr>
            <w:tcW w:w="1620" w:type="dxa"/>
            <w:tcBorders>
              <w:top w:val="double" w:sz="4" w:space="0" w:color="auto"/>
            </w:tcBorders>
          </w:tcPr>
          <w:p w:rsidR="00000000" w:rsidRDefault="00C40079">
            <w:pPr>
              <w:tabs>
                <w:tab w:val="left" w:pos="720"/>
                <w:tab w:val="left" w:pos="1080"/>
                <w:tab w:val="left" w:pos="1440"/>
                <w:tab w:val="left" w:pos="1800"/>
                <w:tab w:val="left" w:pos="2160"/>
              </w:tabs>
              <w:spacing w:before="93" w:after="48"/>
              <w:jc w:val="center"/>
              <w:rPr>
                <w:sz w:val="24"/>
              </w:rPr>
            </w:pPr>
            <w:r>
              <w:rPr>
                <w:sz w:val="24"/>
              </w:rPr>
              <w:t>1,038</w:t>
            </w:r>
          </w:p>
        </w:tc>
        <w:tc>
          <w:tcPr>
            <w:tcW w:w="1800" w:type="dxa"/>
            <w:tcBorders>
              <w:top w:val="double" w:sz="4" w:space="0" w:color="auto"/>
            </w:tcBorders>
          </w:tcPr>
          <w:p w:rsidR="00000000" w:rsidRDefault="00C40079">
            <w:pPr>
              <w:tabs>
                <w:tab w:val="left" w:pos="720"/>
                <w:tab w:val="left" w:pos="1080"/>
                <w:tab w:val="left" w:pos="1440"/>
                <w:tab w:val="left" w:pos="1800"/>
                <w:tab w:val="left" w:pos="2160"/>
              </w:tabs>
              <w:spacing w:before="93" w:after="48"/>
              <w:jc w:val="center"/>
              <w:rPr>
                <w:sz w:val="24"/>
              </w:rPr>
            </w:pPr>
            <w:r>
              <w:rPr>
                <w:sz w:val="24"/>
              </w:rPr>
              <w:t>1,112</w:t>
            </w:r>
          </w:p>
        </w:tc>
        <w:tc>
          <w:tcPr>
            <w:tcW w:w="1822" w:type="dxa"/>
            <w:tcBorders>
              <w:top w:val="double" w:sz="4" w:space="0" w:color="auto"/>
              <w:right w:val="double" w:sz="4" w:space="0" w:color="auto"/>
            </w:tcBorders>
            <w:vAlign w:val="bottom"/>
          </w:tcPr>
          <w:p w:rsidR="00000000" w:rsidRDefault="00C40079">
            <w:pPr>
              <w:tabs>
                <w:tab w:val="left" w:pos="720"/>
                <w:tab w:val="left" w:pos="1080"/>
                <w:tab w:val="left" w:pos="1440"/>
                <w:tab w:val="left" w:pos="1800"/>
                <w:tab w:val="left" w:pos="2160"/>
              </w:tabs>
              <w:spacing w:before="93" w:after="48"/>
              <w:jc w:val="center"/>
              <w:rPr>
                <w:sz w:val="24"/>
              </w:rPr>
            </w:pPr>
            <w:r>
              <w:rPr>
                <w:sz w:val="24"/>
              </w:rPr>
              <w:t>1,038</w:t>
            </w:r>
          </w:p>
        </w:tc>
      </w:tr>
      <w:tr w:rsidR="00000000">
        <w:tblPrEx>
          <w:tblCellMar>
            <w:top w:w="0" w:type="dxa"/>
            <w:bottom w:w="0" w:type="dxa"/>
          </w:tblCellMar>
        </w:tblPrEx>
        <w:trPr>
          <w:cantSplit/>
          <w:jc w:val="center"/>
        </w:trPr>
        <w:tc>
          <w:tcPr>
            <w:tcW w:w="1823" w:type="dxa"/>
            <w:tcBorders>
              <w:left w:val="double" w:sz="4" w:space="0" w:color="auto"/>
            </w:tcBorders>
            <w:vAlign w:val="bottom"/>
          </w:tcPr>
          <w:p w:rsidR="00000000" w:rsidRDefault="00C40079">
            <w:pPr>
              <w:tabs>
                <w:tab w:val="left" w:pos="720"/>
                <w:tab w:val="left" w:pos="1080"/>
                <w:tab w:val="left" w:pos="1440"/>
                <w:tab w:val="left" w:pos="1800"/>
                <w:tab w:val="left" w:pos="2160"/>
              </w:tabs>
              <w:spacing w:before="93" w:after="48"/>
              <w:jc w:val="center"/>
              <w:rPr>
                <w:b/>
                <w:sz w:val="24"/>
              </w:rPr>
            </w:pPr>
            <w:r>
              <w:rPr>
                <w:b/>
                <w:sz w:val="24"/>
              </w:rPr>
              <w:t>1996</w:t>
            </w:r>
          </w:p>
        </w:tc>
        <w:tc>
          <w:tcPr>
            <w:tcW w:w="1620" w:type="dxa"/>
            <w:vAlign w:val="bottom"/>
          </w:tcPr>
          <w:p w:rsidR="00000000" w:rsidRDefault="00C40079">
            <w:pPr>
              <w:tabs>
                <w:tab w:val="left" w:pos="720"/>
                <w:tab w:val="left" w:pos="1080"/>
                <w:tab w:val="left" w:pos="1440"/>
                <w:tab w:val="left" w:pos="1800"/>
                <w:tab w:val="left" w:pos="2160"/>
              </w:tabs>
              <w:spacing w:before="93" w:after="48"/>
              <w:jc w:val="center"/>
              <w:rPr>
                <w:sz w:val="24"/>
              </w:rPr>
            </w:pPr>
            <w:r>
              <w:rPr>
                <w:sz w:val="24"/>
              </w:rPr>
              <w:t>1,186</w:t>
            </w:r>
          </w:p>
        </w:tc>
        <w:tc>
          <w:tcPr>
            <w:tcW w:w="1620" w:type="dxa"/>
          </w:tcPr>
          <w:p w:rsidR="00000000" w:rsidRDefault="00C40079">
            <w:pPr>
              <w:tabs>
                <w:tab w:val="left" w:pos="720"/>
                <w:tab w:val="left" w:pos="1080"/>
                <w:tab w:val="left" w:pos="1440"/>
                <w:tab w:val="left" w:pos="1800"/>
                <w:tab w:val="left" w:pos="2160"/>
              </w:tabs>
              <w:spacing w:before="93" w:after="48"/>
              <w:jc w:val="center"/>
              <w:rPr>
                <w:sz w:val="24"/>
              </w:rPr>
            </w:pPr>
            <w:r>
              <w:rPr>
                <w:sz w:val="24"/>
              </w:rPr>
              <w:t>1,107</w:t>
            </w:r>
          </w:p>
        </w:tc>
        <w:tc>
          <w:tcPr>
            <w:tcW w:w="1800" w:type="dxa"/>
          </w:tcPr>
          <w:p w:rsidR="00000000" w:rsidRDefault="00C40079">
            <w:pPr>
              <w:tabs>
                <w:tab w:val="left" w:pos="720"/>
                <w:tab w:val="left" w:pos="1080"/>
                <w:tab w:val="left" w:pos="1440"/>
                <w:tab w:val="left" w:pos="1800"/>
                <w:tab w:val="left" w:pos="2160"/>
              </w:tabs>
              <w:spacing w:before="93" w:after="48"/>
              <w:jc w:val="center"/>
              <w:rPr>
                <w:sz w:val="24"/>
              </w:rPr>
            </w:pPr>
            <w:r>
              <w:rPr>
                <w:sz w:val="24"/>
              </w:rPr>
              <w:t>1,186</w:t>
            </w:r>
          </w:p>
        </w:tc>
        <w:tc>
          <w:tcPr>
            <w:tcW w:w="1822" w:type="dxa"/>
            <w:tcBorders>
              <w:right w:val="double" w:sz="4" w:space="0" w:color="auto"/>
            </w:tcBorders>
            <w:vAlign w:val="bottom"/>
          </w:tcPr>
          <w:p w:rsidR="00000000" w:rsidRDefault="00C40079">
            <w:pPr>
              <w:tabs>
                <w:tab w:val="left" w:pos="720"/>
                <w:tab w:val="left" w:pos="1080"/>
                <w:tab w:val="left" w:pos="1440"/>
                <w:tab w:val="left" w:pos="1800"/>
                <w:tab w:val="left" w:pos="2160"/>
              </w:tabs>
              <w:spacing w:before="93" w:after="48"/>
              <w:jc w:val="center"/>
              <w:rPr>
                <w:sz w:val="24"/>
              </w:rPr>
            </w:pPr>
            <w:r>
              <w:rPr>
                <w:sz w:val="24"/>
              </w:rPr>
              <w:t>1,107</w:t>
            </w:r>
          </w:p>
        </w:tc>
      </w:tr>
      <w:tr w:rsidR="00000000">
        <w:tblPrEx>
          <w:tblCellMar>
            <w:top w:w="0" w:type="dxa"/>
            <w:bottom w:w="0" w:type="dxa"/>
          </w:tblCellMar>
        </w:tblPrEx>
        <w:trPr>
          <w:cantSplit/>
          <w:jc w:val="center"/>
        </w:trPr>
        <w:tc>
          <w:tcPr>
            <w:tcW w:w="1823" w:type="dxa"/>
            <w:tcBorders>
              <w:left w:val="double" w:sz="4" w:space="0" w:color="auto"/>
              <w:bottom w:val="nil"/>
            </w:tcBorders>
            <w:vAlign w:val="bottom"/>
          </w:tcPr>
          <w:p w:rsidR="00000000" w:rsidRDefault="00C40079">
            <w:pPr>
              <w:tabs>
                <w:tab w:val="left" w:pos="720"/>
                <w:tab w:val="left" w:pos="1080"/>
                <w:tab w:val="left" w:pos="1440"/>
                <w:tab w:val="left" w:pos="1800"/>
                <w:tab w:val="left" w:pos="2160"/>
              </w:tabs>
              <w:spacing w:before="93" w:after="48"/>
              <w:jc w:val="center"/>
              <w:rPr>
                <w:b/>
                <w:sz w:val="24"/>
              </w:rPr>
            </w:pPr>
            <w:r>
              <w:rPr>
                <w:b/>
                <w:sz w:val="24"/>
              </w:rPr>
              <w:t>1999</w:t>
            </w:r>
          </w:p>
        </w:tc>
        <w:tc>
          <w:tcPr>
            <w:tcW w:w="1620" w:type="dxa"/>
            <w:vAlign w:val="bottom"/>
          </w:tcPr>
          <w:p w:rsidR="00000000" w:rsidRDefault="00C40079">
            <w:pPr>
              <w:tabs>
                <w:tab w:val="left" w:pos="720"/>
                <w:tab w:val="left" w:pos="1080"/>
                <w:tab w:val="left" w:pos="1440"/>
                <w:tab w:val="left" w:pos="1800"/>
                <w:tab w:val="left" w:pos="2160"/>
              </w:tabs>
              <w:spacing w:before="93" w:after="48"/>
              <w:jc w:val="center"/>
              <w:rPr>
                <w:sz w:val="24"/>
              </w:rPr>
            </w:pPr>
            <w:r>
              <w:rPr>
                <w:sz w:val="24"/>
              </w:rPr>
              <w:t>1,223</w:t>
            </w:r>
          </w:p>
        </w:tc>
        <w:tc>
          <w:tcPr>
            <w:tcW w:w="1620" w:type="dxa"/>
          </w:tcPr>
          <w:p w:rsidR="00000000" w:rsidRDefault="00C40079">
            <w:pPr>
              <w:tabs>
                <w:tab w:val="left" w:pos="720"/>
                <w:tab w:val="left" w:pos="1080"/>
                <w:tab w:val="left" w:pos="1440"/>
                <w:tab w:val="left" w:pos="1800"/>
                <w:tab w:val="left" w:pos="2160"/>
              </w:tabs>
              <w:spacing w:before="93" w:after="48"/>
              <w:jc w:val="center"/>
              <w:rPr>
                <w:sz w:val="24"/>
              </w:rPr>
            </w:pPr>
            <w:r>
              <w:rPr>
                <w:sz w:val="24"/>
              </w:rPr>
              <w:t>1,142</w:t>
            </w:r>
          </w:p>
        </w:tc>
        <w:tc>
          <w:tcPr>
            <w:tcW w:w="1800" w:type="dxa"/>
          </w:tcPr>
          <w:p w:rsidR="00000000" w:rsidRDefault="00C40079">
            <w:pPr>
              <w:tabs>
                <w:tab w:val="left" w:pos="720"/>
                <w:tab w:val="left" w:pos="1080"/>
                <w:tab w:val="left" w:pos="1440"/>
                <w:tab w:val="left" w:pos="1800"/>
                <w:tab w:val="left" w:pos="2160"/>
              </w:tabs>
              <w:spacing w:before="93" w:after="48"/>
              <w:jc w:val="center"/>
              <w:rPr>
                <w:sz w:val="24"/>
              </w:rPr>
            </w:pPr>
            <w:r>
              <w:rPr>
                <w:sz w:val="24"/>
              </w:rPr>
              <w:t>1,223</w:t>
            </w:r>
          </w:p>
        </w:tc>
        <w:tc>
          <w:tcPr>
            <w:tcW w:w="1822" w:type="dxa"/>
            <w:tcBorders>
              <w:right w:val="double" w:sz="4" w:space="0" w:color="auto"/>
            </w:tcBorders>
            <w:vAlign w:val="bottom"/>
          </w:tcPr>
          <w:p w:rsidR="00000000" w:rsidRDefault="00C40079">
            <w:pPr>
              <w:tabs>
                <w:tab w:val="left" w:pos="720"/>
                <w:tab w:val="left" w:pos="1080"/>
                <w:tab w:val="left" w:pos="1440"/>
                <w:tab w:val="left" w:pos="1800"/>
                <w:tab w:val="left" w:pos="2160"/>
              </w:tabs>
              <w:spacing w:before="93" w:after="48"/>
              <w:jc w:val="center"/>
              <w:rPr>
                <w:sz w:val="24"/>
              </w:rPr>
            </w:pPr>
            <w:r>
              <w:rPr>
                <w:sz w:val="24"/>
              </w:rPr>
              <w:t>1,142</w:t>
            </w:r>
          </w:p>
        </w:tc>
      </w:tr>
      <w:tr w:rsidR="00000000">
        <w:tblPrEx>
          <w:tblCellMar>
            <w:top w:w="0" w:type="dxa"/>
            <w:bottom w:w="0" w:type="dxa"/>
          </w:tblCellMar>
        </w:tblPrEx>
        <w:trPr>
          <w:cantSplit/>
          <w:trHeight w:val="435"/>
          <w:jc w:val="center"/>
        </w:trPr>
        <w:tc>
          <w:tcPr>
            <w:tcW w:w="1823" w:type="dxa"/>
            <w:tcBorders>
              <w:top w:val="single" w:sz="6" w:space="0" w:color="000000"/>
              <w:left w:val="double" w:sz="4" w:space="0" w:color="auto"/>
              <w:bottom w:val="nil"/>
            </w:tcBorders>
            <w:vAlign w:val="bottom"/>
          </w:tcPr>
          <w:p w:rsidR="00000000" w:rsidRDefault="00C40079">
            <w:pPr>
              <w:tabs>
                <w:tab w:val="left" w:pos="720"/>
                <w:tab w:val="left" w:pos="1080"/>
                <w:tab w:val="left" w:pos="1440"/>
                <w:tab w:val="left" w:pos="1800"/>
                <w:tab w:val="left" w:pos="2160"/>
              </w:tabs>
              <w:spacing w:before="93" w:after="48"/>
              <w:jc w:val="center"/>
              <w:rPr>
                <w:b/>
                <w:sz w:val="24"/>
              </w:rPr>
            </w:pPr>
            <w:r>
              <w:rPr>
                <w:b/>
                <w:sz w:val="24"/>
              </w:rPr>
              <w:t>2002</w:t>
            </w:r>
          </w:p>
        </w:tc>
        <w:tc>
          <w:tcPr>
            <w:tcW w:w="1620" w:type="dxa"/>
            <w:tcBorders>
              <w:bottom w:val="nil"/>
            </w:tcBorders>
            <w:vAlign w:val="bottom"/>
          </w:tcPr>
          <w:p w:rsidR="00000000" w:rsidRDefault="00C40079">
            <w:pPr>
              <w:tabs>
                <w:tab w:val="left" w:pos="720"/>
                <w:tab w:val="left" w:pos="1080"/>
                <w:tab w:val="left" w:pos="1440"/>
                <w:tab w:val="left" w:pos="1800"/>
                <w:tab w:val="left" w:pos="2160"/>
              </w:tabs>
              <w:spacing w:before="93" w:after="48"/>
              <w:jc w:val="center"/>
              <w:rPr>
                <w:sz w:val="24"/>
              </w:rPr>
            </w:pPr>
            <w:r>
              <w:rPr>
                <w:sz w:val="24"/>
              </w:rPr>
              <w:t>1,405</w:t>
            </w:r>
          </w:p>
        </w:tc>
        <w:tc>
          <w:tcPr>
            <w:tcW w:w="1620" w:type="dxa"/>
            <w:tcBorders>
              <w:bottom w:val="nil"/>
            </w:tcBorders>
          </w:tcPr>
          <w:p w:rsidR="00000000" w:rsidRDefault="00C40079">
            <w:pPr>
              <w:tabs>
                <w:tab w:val="left" w:pos="720"/>
                <w:tab w:val="left" w:pos="1080"/>
                <w:tab w:val="left" w:pos="1440"/>
                <w:tab w:val="left" w:pos="1800"/>
                <w:tab w:val="left" w:pos="2160"/>
              </w:tabs>
              <w:spacing w:before="93" w:after="48"/>
              <w:jc w:val="center"/>
              <w:rPr>
                <w:sz w:val="24"/>
              </w:rPr>
            </w:pPr>
            <w:r>
              <w:rPr>
                <w:sz w:val="24"/>
              </w:rPr>
              <w:t>875</w:t>
            </w:r>
          </w:p>
        </w:tc>
        <w:tc>
          <w:tcPr>
            <w:tcW w:w="1800" w:type="dxa"/>
            <w:tcBorders>
              <w:bottom w:val="nil"/>
            </w:tcBorders>
          </w:tcPr>
          <w:p w:rsidR="00000000" w:rsidRDefault="00C40079">
            <w:pPr>
              <w:tabs>
                <w:tab w:val="left" w:pos="720"/>
                <w:tab w:val="left" w:pos="1080"/>
                <w:tab w:val="left" w:pos="1440"/>
                <w:tab w:val="left" w:pos="1800"/>
                <w:tab w:val="left" w:pos="2160"/>
              </w:tabs>
              <w:spacing w:before="93" w:after="48"/>
              <w:jc w:val="center"/>
              <w:rPr>
                <w:sz w:val="24"/>
              </w:rPr>
            </w:pPr>
            <w:r>
              <w:rPr>
                <w:sz w:val="24"/>
              </w:rPr>
              <w:t>1,405</w:t>
            </w:r>
          </w:p>
        </w:tc>
        <w:tc>
          <w:tcPr>
            <w:tcW w:w="1822" w:type="dxa"/>
            <w:tcBorders>
              <w:bottom w:val="nil"/>
              <w:right w:val="double" w:sz="4" w:space="0" w:color="auto"/>
            </w:tcBorders>
            <w:vAlign w:val="bottom"/>
          </w:tcPr>
          <w:p w:rsidR="00000000" w:rsidRDefault="00C40079">
            <w:pPr>
              <w:tabs>
                <w:tab w:val="left" w:pos="720"/>
                <w:tab w:val="left" w:pos="1080"/>
                <w:tab w:val="left" w:pos="1440"/>
                <w:tab w:val="left" w:pos="1800"/>
                <w:tab w:val="left" w:pos="2160"/>
              </w:tabs>
              <w:spacing w:before="93" w:after="48"/>
              <w:jc w:val="center"/>
              <w:rPr>
                <w:sz w:val="24"/>
              </w:rPr>
            </w:pPr>
            <w:r>
              <w:rPr>
                <w:sz w:val="24"/>
              </w:rPr>
              <w:t>875</w:t>
            </w:r>
          </w:p>
        </w:tc>
      </w:tr>
      <w:tr w:rsidR="00000000">
        <w:tblPrEx>
          <w:tblCellMar>
            <w:top w:w="0" w:type="dxa"/>
            <w:bottom w:w="0" w:type="dxa"/>
          </w:tblCellMar>
        </w:tblPrEx>
        <w:trPr>
          <w:cantSplit/>
          <w:trHeight w:val="462"/>
          <w:jc w:val="center"/>
        </w:trPr>
        <w:tc>
          <w:tcPr>
            <w:tcW w:w="1823" w:type="dxa"/>
            <w:tcBorders>
              <w:top w:val="single" w:sz="4" w:space="0" w:color="auto"/>
              <w:left w:val="double" w:sz="4" w:space="0" w:color="auto"/>
              <w:bottom w:val="single" w:sz="4" w:space="0" w:color="auto"/>
              <w:right w:val="single" w:sz="4" w:space="0" w:color="auto"/>
            </w:tcBorders>
            <w:vAlign w:val="bottom"/>
          </w:tcPr>
          <w:p w:rsidR="00000000" w:rsidRDefault="00C40079">
            <w:pPr>
              <w:tabs>
                <w:tab w:val="left" w:pos="720"/>
                <w:tab w:val="left" w:pos="1080"/>
                <w:tab w:val="left" w:pos="1440"/>
                <w:tab w:val="left" w:pos="1800"/>
                <w:tab w:val="left" w:pos="2160"/>
              </w:tabs>
              <w:spacing w:before="93" w:after="48"/>
              <w:jc w:val="center"/>
              <w:rPr>
                <w:b/>
                <w:sz w:val="24"/>
              </w:rPr>
            </w:pPr>
            <w:r>
              <w:rPr>
                <w:b/>
                <w:sz w:val="24"/>
              </w:rPr>
              <w:t>2005</w:t>
            </w:r>
            <w:r>
              <w:rPr>
                <w:b/>
                <w:sz w:val="24"/>
                <w:vertAlign w:val="superscript"/>
              </w:rPr>
              <w:t>(1)</w:t>
            </w:r>
          </w:p>
        </w:tc>
        <w:tc>
          <w:tcPr>
            <w:tcW w:w="1620" w:type="dxa"/>
            <w:tcBorders>
              <w:top w:val="single" w:sz="6" w:space="0" w:color="000000"/>
              <w:left w:val="nil"/>
              <w:bottom w:val="single" w:sz="4" w:space="0" w:color="auto"/>
            </w:tcBorders>
            <w:vAlign w:val="bottom"/>
          </w:tcPr>
          <w:p w:rsidR="00000000" w:rsidRDefault="00C40079">
            <w:pPr>
              <w:tabs>
                <w:tab w:val="left" w:pos="720"/>
                <w:tab w:val="left" w:pos="1080"/>
                <w:tab w:val="left" w:pos="1440"/>
                <w:tab w:val="left" w:pos="1800"/>
                <w:tab w:val="left" w:pos="2160"/>
              </w:tabs>
              <w:spacing w:before="93" w:after="48"/>
              <w:jc w:val="center"/>
              <w:rPr>
                <w:sz w:val="24"/>
              </w:rPr>
            </w:pPr>
            <w:r>
              <w:rPr>
                <w:sz w:val="24"/>
              </w:rPr>
              <w:t>1,198</w:t>
            </w:r>
          </w:p>
        </w:tc>
        <w:tc>
          <w:tcPr>
            <w:tcW w:w="1620" w:type="dxa"/>
            <w:tcBorders>
              <w:top w:val="single" w:sz="6" w:space="0" w:color="000000"/>
              <w:bottom w:val="single" w:sz="4" w:space="0" w:color="auto"/>
            </w:tcBorders>
          </w:tcPr>
          <w:p w:rsidR="00000000" w:rsidRDefault="00C40079">
            <w:pPr>
              <w:tabs>
                <w:tab w:val="left" w:pos="720"/>
                <w:tab w:val="left" w:pos="1080"/>
                <w:tab w:val="left" w:pos="1440"/>
                <w:tab w:val="left" w:pos="1800"/>
                <w:tab w:val="left" w:pos="2160"/>
              </w:tabs>
              <w:spacing w:before="93" w:after="48"/>
              <w:jc w:val="center"/>
              <w:rPr>
                <w:sz w:val="24"/>
              </w:rPr>
            </w:pPr>
            <w:r>
              <w:rPr>
                <w:sz w:val="24"/>
              </w:rPr>
              <w:t>1,084</w:t>
            </w:r>
          </w:p>
        </w:tc>
        <w:tc>
          <w:tcPr>
            <w:tcW w:w="1800" w:type="dxa"/>
            <w:tcBorders>
              <w:top w:val="single" w:sz="6" w:space="0" w:color="000000"/>
              <w:bottom w:val="single" w:sz="4" w:space="0" w:color="auto"/>
            </w:tcBorders>
          </w:tcPr>
          <w:p w:rsidR="00000000" w:rsidRDefault="00C40079">
            <w:pPr>
              <w:tabs>
                <w:tab w:val="left" w:pos="720"/>
                <w:tab w:val="left" w:pos="1080"/>
                <w:tab w:val="left" w:pos="1440"/>
                <w:tab w:val="left" w:pos="1800"/>
                <w:tab w:val="left" w:pos="2160"/>
              </w:tabs>
              <w:spacing w:before="93" w:after="48"/>
              <w:jc w:val="center"/>
              <w:rPr>
                <w:sz w:val="24"/>
              </w:rPr>
            </w:pPr>
            <w:r>
              <w:rPr>
                <w:sz w:val="24"/>
              </w:rPr>
              <w:t>730</w:t>
            </w:r>
          </w:p>
        </w:tc>
        <w:tc>
          <w:tcPr>
            <w:tcW w:w="1822" w:type="dxa"/>
            <w:tcBorders>
              <w:top w:val="single" w:sz="6" w:space="0" w:color="000000"/>
              <w:bottom w:val="single" w:sz="4" w:space="0" w:color="auto"/>
              <w:right w:val="double" w:sz="4" w:space="0" w:color="auto"/>
            </w:tcBorders>
            <w:vAlign w:val="bottom"/>
          </w:tcPr>
          <w:p w:rsidR="00000000" w:rsidRDefault="00C40079">
            <w:pPr>
              <w:tabs>
                <w:tab w:val="left" w:pos="720"/>
                <w:tab w:val="left" w:pos="1080"/>
                <w:tab w:val="left" w:pos="1440"/>
                <w:tab w:val="left" w:pos="1800"/>
                <w:tab w:val="left" w:pos="2160"/>
              </w:tabs>
              <w:spacing w:before="93" w:after="48"/>
              <w:jc w:val="center"/>
              <w:rPr>
                <w:sz w:val="24"/>
              </w:rPr>
            </w:pPr>
            <w:r>
              <w:rPr>
                <w:sz w:val="24"/>
              </w:rPr>
              <w:t>1,534</w:t>
            </w:r>
          </w:p>
        </w:tc>
      </w:tr>
    </w:tbl>
    <w:p w:rsidR="00000000" w:rsidRDefault="00C40079">
      <w:pPr>
        <w:pStyle w:val="Level2"/>
        <w:tabs>
          <w:tab w:val="left" w:pos="720"/>
          <w:tab w:val="left" w:pos="1080"/>
          <w:tab w:val="left" w:pos="1440"/>
          <w:tab w:val="left" w:pos="1800"/>
          <w:tab w:val="left" w:pos="2160"/>
        </w:tabs>
        <w:ind w:left="360" w:right="360"/>
        <w:rPr>
          <w:sz w:val="22"/>
        </w:rPr>
      </w:pPr>
      <w:r>
        <w:rPr>
          <w:sz w:val="22"/>
        </w:rPr>
        <w:t>NOTES:</w:t>
      </w:r>
    </w:p>
    <w:p w:rsidR="00000000" w:rsidRDefault="00C40079">
      <w:pPr>
        <w:pStyle w:val="Level2"/>
        <w:tabs>
          <w:tab w:val="left" w:pos="720"/>
          <w:tab w:val="left" w:pos="1080"/>
          <w:tab w:val="left" w:pos="1440"/>
          <w:tab w:val="left" w:pos="1800"/>
          <w:tab w:val="left" w:pos="2160"/>
        </w:tabs>
        <w:ind w:left="360" w:right="360"/>
        <w:rPr>
          <w:sz w:val="22"/>
        </w:rPr>
      </w:pPr>
      <w:r>
        <w:rPr>
          <w:sz w:val="22"/>
        </w:rPr>
        <w:t>(1) Budgets updated such that the increase in NO</w:t>
      </w:r>
      <w:r>
        <w:rPr>
          <w:sz w:val="22"/>
          <w:vertAlign w:val="subscript"/>
        </w:rPr>
        <w:t>x</w:t>
      </w:r>
      <w:r>
        <w:rPr>
          <w:sz w:val="22"/>
        </w:rPr>
        <w:t xml:space="preserve"> is offset by a decrease in VOC. Updated 2005 budgets apply to 2005 and all future years until new budgets are established for the 8- hour ozone attainment demonst</w:t>
      </w:r>
      <w:r>
        <w:rPr>
          <w:sz w:val="22"/>
        </w:rPr>
        <w:t>ration</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early transportation conformity emission budgets are provided in Table ES4.  The early budgets must be used for future transportation conformity determinations by the North Jersey Transportation Planning Authority and the Delaware Valley Region</w:t>
      </w:r>
      <w:r>
        <w:t>al Planning Commission Metropolitan Planning Organization once found to be adequate by the USEPA.</w:t>
      </w:r>
    </w:p>
    <w:p w:rsidR="00000000" w:rsidRDefault="00C40079">
      <w:pPr>
        <w:pStyle w:val="Level2"/>
        <w:tabs>
          <w:tab w:val="left" w:pos="720"/>
          <w:tab w:val="left" w:pos="1080"/>
          <w:tab w:val="left" w:pos="1440"/>
          <w:tab w:val="left" w:pos="1800"/>
          <w:tab w:val="left" w:pos="2160"/>
        </w:tabs>
      </w:pPr>
      <w:r>
        <w:br w:type="page"/>
      </w:r>
    </w:p>
    <w:p w:rsidR="00000000" w:rsidRDefault="00C40079">
      <w:pPr>
        <w:pStyle w:val="Level2"/>
        <w:tabs>
          <w:tab w:val="left" w:pos="720"/>
          <w:tab w:val="left" w:pos="1080"/>
          <w:tab w:val="left" w:pos="1440"/>
          <w:tab w:val="left" w:pos="1800"/>
          <w:tab w:val="left" w:pos="2160"/>
        </w:tabs>
        <w:jc w:val="center"/>
        <w:rPr>
          <w:b/>
        </w:rPr>
      </w:pPr>
      <w:bookmarkStart w:id="75" w:name="Table_ES4"/>
      <w:bookmarkStart w:id="76" w:name="_Hlt126635642"/>
      <w:bookmarkEnd w:id="76"/>
      <w:r>
        <w:rPr>
          <w:b/>
        </w:rPr>
        <w:t>Table ES4</w:t>
      </w:r>
      <w:bookmarkEnd w:id="75"/>
    </w:p>
    <w:p w:rsidR="00000000" w:rsidRDefault="00C40079">
      <w:pPr>
        <w:pStyle w:val="Level2"/>
        <w:tabs>
          <w:tab w:val="left" w:pos="720"/>
          <w:tab w:val="left" w:pos="1080"/>
          <w:tab w:val="left" w:pos="1440"/>
          <w:tab w:val="left" w:pos="1800"/>
          <w:tab w:val="left" w:pos="2160"/>
        </w:tabs>
        <w:jc w:val="center"/>
        <w:rPr>
          <w:b/>
        </w:rPr>
      </w:pPr>
      <w:r>
        <w:rPr>
          <w:b/>
        </w:rPr>
        <w:t>New PM</w:t>
      </w:r>
      <w:r>
        <w:rPr>
          <w:b/>
          <w:vertAlign w:val="subscript"/>
        </w:rPr>
        <w:t>2.5</w:t>
      </w:r>
      <w:r>
        <w:rPr>
          <w:b/>
        </w:rPr>
        <w:t xml:space="preserve"> Transportation Conformity Emission Budgets</w:t>
      </w:r>
    </w:p>
    <w:p w:rsidR="00000000" w:rsidRDefault="00C40079">
      <w:pPr>
        <w:tabs>
          <w:tab w:val="left" w:pos="720"/>
          <w:tab w:val="left" w:pos="1080"/>
          <w:tab w:val="left" w:pos="1440"/>
          <w:tab w:val="left" w:pos="1800"/>
          <w:tab w:val="left" w:pos="2160"/>
        </w:tabs>
        <w:jc w:val="center"/>
        <w:rPr>
          <w:b/>
          <w:sz w:val="24"/>
        </w:rPr>
      </w:pPr>
    </w:p>
    <w:tbl>
      <w:tblPr>
        <w:tblW w:w="0" w:type="auto"/>
        <w:tblInd w:w="-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00" w:firstRow="0" w:lastRow="0" w:firstColumn="0" w:lastColumn="0" w:noHBand="0" w:noVBand="0"/>
      </w:tblPr>
      <w:tblGrid>
        <w:gridCol w:w="4140"/>
        <w:gridCol w:w="3420"/>
        <w:gridCol w:w="3060"/>
      </w:tblGrid>
      <w:tr w:rsidR="00000000">
        <w:tblPrEx>
          <w:tblCellMar>
            <w:top w:w="0" w:type="dxa"/>
            <w:bottom w:w="0" w:type="dxa"/>
          </w:tblCellMar>
        </w:tblPrEx>
        <w:trPr>
          <w:cantSplit/>
          <w:trHeight w:val="486"/>
        </w:trPr>
        <w:tc>
          <w:tcPr>
            <w:tcW w:w="4140" w:type="dxa"/>
            <w:vMerge w:val="restart"/>
            <w:tcBorders>
              <w:top w:val="double" w:sz="4" w:space="0" w:color="auto"/>
              <w:left w:val="double" w:sz="4" w:space="0" w:color="auto"/>
              <w:bottom w:val="double" w:sz="4" w:space="0" w:color="auto"/>
              <w:right w:val="double" w:sz="4" w:space="0" w:color="auto"/>
            </w:tcBorders>
            <w:shd w:val="pct20" w:color="auto" w:fill="FFFFFF"/>
            <w:vAlign w:val="center"/>
          </w:tcPr>
          <w:p w:rsidR="00000000" w:rsidRDefault="00C40079">
            <w:pPr>
              <w:tabs>
                <w:tab w:val="left" w:pos="360"/>
                <w:tab w:val="left" w:pos="720"/>
                <w:tab w:val="left" w:pos="1080"/>
                <w:tab w:val="left" w:pos="1440"/>
                <w:tab w:val="left" w:pos="1800"/>
                <w:tab w:val="left" w:pos="2160"/>
              </w:tabs>
              <w:jc w:val="center"/>
              <w:rPr>
                <w:b/>
                <w:sz w:val="24"/>
              </w:rPr>
            </w:pPr>
            <w:r>
              <w:rPr>
                <w:b/>
                <w:sz w:val="24"/>
              </w:rPr>
              <w:t>Transportation</w:t>
            </w:r>
          </w:p>
          <w:p w:rsidR="00000000" w:rsidRDefault="00C40079">
            <w:pPr>
              <w:tabs>
                <w:tab w:val="left" w:pos="360"/>
                <w:tab w:val="left" w:pos="720"/>
                <w:tab w:val="left" w:pos="1080"/>
                <w:tab w:val="left" w:pos="1440"/>
                <w:tab w:val="left" w:pos="1800"/>
                <w:tab w:val="left" w:pos="2160"/>
              </w:tabs>
              <w:jc w:val="center"/>
              <w:rPr>
                <w:b/>
                <w:sz w:val="24"/>
              </w:rPr>
            </w:pPr>
            <w:r>
              <w:rPr>
                <w:b/>
                <w:sz w:val="24"/>
              </w:rPr>
              <w:t>Planning Area</w:t>
            </w:r>
          </w:p>
        </w:tc>
        <w:tc>
          <w:tcPr>
            <w:tcW w:w="3420" w:type="dxa"/>
            <w:tcBorders>
              <w:top w:val="double" w:sz="4" w:space="0" w:color="auto"/>
              <w:left w:val="nil"/>
              <w:bottom w:val="nil"/>
              <w:right w:val="double" w:sz="4" w:space="0" w:color="auto"/>
            </w:tcBorders>
            <w:shd w:val="pct20" w:color="auto" w:fill="FFFFFF"/>
          </w:tcPr>
          <w:p w:rsidR="00000000" w:rsidRDefault="00C40079">
            <w:pPr>
              <w:tabs>
                <w:tab w:val="left" w:pos="360"/>
                <w:tab w:val="left" w:pos="720"/>
                <w:tab w:val="left" w:pos="1080"/>
                <w:tab w:val="left" w:pos="1440"/>
                <w:tab w:val="left" w:pos="1800"/>
                <w:tab w:val="left" w:pos="2160"/>
              </w:tabs>
              <w:jc w:val="center"/>
              <w:rPr>
                <w:b/>
                <w:sz w:val="24"/>
                <w:vertAlign w:val="superscript"/>
              </w:rPr>
            </w:pPr>
            <w:r>
              <w:rPr>
                <w:b/>
                <w:sz w:val="24"/>
              </w:rPr>
              <w:t>Direct PM</w:t>
            </w:r>
            <w:r>
              <w:rPr>
                <w:b/>
                <w:sz w:val="24"/>
                <w:vertAlign w:val="subscript"/>
              </w:rPr>
              <w:t>2.5</w:t>
            </w:r>
            <w:r>
              <w:rPr>
                <w:b/>
                <w:sz w:val="24"/>
              </w:rPr>
              <w:t xml:space="preserve"> Emissions</w:t>
            </w:r>
            <w:r>
              <w:rPr>
                <w:b/>
                <w:sz w:val="24"/>
                <w:vertAlign w:val="superscript"/>
              </w:rPr>
              <w:t>(1)</w:t>
            </w:r>
          </w:p>
          <w:p w:rsidR="00000000" w:rsidRDefault="00C40079">
            <w:pPr>
              <w:tabs>
                <w:tab w:val="left" w:pos="360"/>
                <w:tab w:val="left" w:pos="720"/>
                <w:tab w:val="left" w:pos="1080"/>
                <w:tab w:val="left" w:pos="1440"/>
                <w:tab w:val="left" w:pos="1800"/>
                <w:tab w:val="left" w:pos="2160"/>
              </w:tabs>
              <w:jc w:val="center"/>
              <w:rPr>
                <w:b/>
                <w:sz w:val="24"/>
              </w:rPr>
            </w:pPr>
            <w:r>
              <w:rPr>
                <w:b/>
                <w:sz w:val="24"/>
              </w:rPr>
              <w:t>(tons per year)</w:t>
            </w:r>
          </w:p>
        </w:tc>
        <w:tc>
          <w:tcPr>
            <w:tcW w:w="3060" w:type="dxa"/>
            <w:tcBorders>
              <w:top w:val="double" w:sz="4" w:space="0" w:color="auto"/>
              <w:left w:val="nil"/>
              <w:bottom w:val="nil"/>
              <w:right w:val="double" w:sz="4" w:space="0" w:color="auto"/>
            </w:tcBorders>
            <w:shd w:val="pct20" w:color="auto" w:fill="FFFFFF"/>
          </w:tcPr>
          <w:p w:rsidR="00000000" w:rsidRDefault="00C40079">
            <w:pPr>
              <w:tabs>
                <w:tab w:val="left" w:pos="360"/>
                <w:tab w:val="left" w:pos="720"/>
                <w:tab w:val="left" w:pos="1080"/>
                <w:tab w:val="left" w:pos="1440"/>
                <w:tab w:val="left" w:pos="1800"/>
                <w:tab w:val="left" w:pos="2160"/>
              </w:tabs>
              <w:jc w:val="center"/>
              <w:rPr>
                <w:b/>
                <w:sz w:val="24"/>
              </w:rPr>
            </w:pPr>
            <w:r>
              <w:rPr>
                <w:b/>
                <w:sz w:val="24"/>
              </w:rPr>
              <w:t>Annual NO</w:t>
            </w:r>
            <w:r>
              <w:rPr>
                <w:b/>
                <w:sz w:val="24"/>
                <w:vertAlign w:val="subscript"/>
              </w:rPr>
              <w:t>x</w:t>
            </w:r>
            <w:r>
              <w:rPr>
                <w:b/>
                <w:sz w:val="24"/>
              </w:rPr>
              <w:t xml:space="preserve"> Emissions</w:t>
            </w:r>
          </w:p>
          <w:p w:rsidR="00000000" w:rsidRDefault="00C40079">
            <w:pPr>
              <w:tabs>
                <w:tab w:val="left" w:pos="360"/>
                <w:tab w:val="left" w:pos="720"/>
                <w:tab w:val="left" w:pos="1080"/>
                <w:tab w:val="left" w:pos="1440"/>
                <w:tab w:val="left" w:pos="1800"/>
                <w:tab w:val="left" w:pos="2160"/>
              </w:tabs>
              <w:jc w:val="center"/>
              <w:rPr>
                <w:b/>
                <w:sz w:val="24"/>
              </w:rPr>
            </w:pPr>
            <w:r>
              <w:rPr>
                <w:b/>
                <w:sz w:val="24"/>
              </w:rPr>
              <w:t>(tons per year)</w:t>
            </w:r>
          </w:p>
        </w:tc>
      </w:tr>
      <w:tr w:rsidR="00000000">
        <w:tblPrEx>
          <w:tblCellMar>
            <w:top w:w="0" w:type="dxa"/>
            <w:bottom w:w="0" w:type="dxa"/>
          </w:tblCellMar>
        </w:tblPrEx>
        <w:trPr>
          <w:cantSplit/>
          <w:trHeight w:val="318"/>
        </w:trPr>
        <w:tc>
          <w:tcPr>
            <w:tcW w:w="4140" w:type="dxa"/>
            <w:vMerge/>
            <w:tcBorders>
              <w:top w:val="double" w:sz="4" w:space="0" w:color="auto"/>
              <w:left w:val="double" w:sz="4" w:space="0" w:color="auto"/>
              <w:bottom w:val="nil"/>
              <w:right w:val="double" w:sz="4" w:space="0" w:color="auto"/>
            </w:tcBorders>
            <w:vAlign w:val="center"/>
          </w:tcPr>
          <w:p w:rsidR="00000000" w:rsidRDefault="00C40079">
            <w:pPr>
              <w:tabs>
                <w:tab w:val="left" w:pos="360"/>
                <w:tab w:val="left" w:pos="720"/>
                <w:tab w:val="left" w:pos="1080"/>
                <w:tab w:val="left" w:pos="1440"/>
                <w:tab w:val="left" w:pos="1800"/>
                <w:tab w:val="left" w:pos="2160"/>
              </w:tabs>
              <w:jc w:val="center"/>
              <w:rPr>
                <w:b/>
                <w:sz w:val="24"/>
              </w:rPr>
            </w:pPr>
          </w:p>
        </w:tc>
        <w:tc>
          <w:tcPr>
            <w:tcW w:w="3420" w:type="dxa"/>
            <w:tcBorders>
              <w:top w:val="single" w:sz="8" w:space="0" w:color="auto"/>
              <w:left w:val="nil"/>
              <w:bottom w:val="nil"/>
              <w:right w:val="double" w:sz="4" w:space="0" w:color="auto"/>
            </w:tcBorders>
            <w:shd w:val="pct12" w:color="auto" w:fill="FFFFFF"/>
            <w:vAlign w:val="center"/>
          </w:tcPr>
          <w:p w:rsidR="00000000" w:rsidRDefault="00C40079">
            <w:pPr>
              <w:tabs>
                <w:tab w:val="left" w:pos="360"/>
                <w:tab w:val="left" w:pos="720"/>
                <w:tab w:val="left" w:pos="1080"/>
                <w:tab w:val="left" w:pos="1440"/>
                <w:tab w:val="left" w:pos="1800"/>
                <w:tab w:val="left" w:pos="2160"/>
              </w:tabs>
              <w:jc w:val="center"/>
              <w:rPr>
                <w:b/>
                <w:sz w:val="24"/>
              </w:rPr>
            </w:pPr>
            <w:r>
              <w:rPr>
                <w:b/>
                <w:sz w:val="24"/>
              </w:rPr>
              <w:t>2009</w:t>
            </w:r>
          </w:p>
        </w:tc>
        <w:tc>
          <w:tcPr>
            <w:tcW w:w="3060" w:type="dxa"/>
            <w:tcBorders>
              <w:top w:val="single" w:sz="8" w:space="0" w:color="auto"/>
              <w:left w:val="single" w:sz="8" w:space="0" w:color="auto"/>
              <w:bottom w:val="nil"/>
              <w:right w:val="double" w:sz="4" w:space="0" w:color="auto"/>
            </w:tcBorders>
            <w:shd w:val="pct12" w:color="auto" w:fill="FFFFFF"/>
            <w:vAlign w:val="center"/>
          </w:tcPr>
          <w:p w:rsidR="00000000" w:rsidRDefault="00C40079">
            <w:pPr>
              <w:tabs>
                <w:tab w:val="left" w:pos="360"/>
                <w:tab w:val="left" w:pos="720"/>
                <w:tab w:val="left" w:pos="1080"/>
                <w:tab w:val="left" w:pos="1440"/>
                <w:tab w:val="left" w:pos="1800"/>
                <w:tab w:val="left" w:pos="2160"/>
              </w:tabs>
              <w:jc w:val="center"/>
              <w:rPr>
                <w:b/>
                <w:sz w:val="24"/>
              </w:rPr>
            </w:pPr>
            <w:r>
              <w:rPr>
                <w:b/>
                <w:sz w:val="24"/>
              </w:rPr>
              <w:t>2009</w:t>
            </w:r>
          </w:p>
        </w:tc>
      </w:tr>
      <w:tr w:rsidR="00000000">
        <w:tblPrEx>
          <w:tblCellMar>
            <w:top w:w="0" w:type="dxa"/>
            <w:bottom w:w="0" w:type="dxa"/>
          </w:tblCellMar>
        </w:tblPrEx>
        <w:trPr>
          <w:cantSplit/>
          <w:trHeight w:val="1000"/>
        </w:trPr>
        <w:tc>
          <w:tcPr>
            <w:tcW w:w="4140" w:type="dxa"/>
            <w:tcBorders>
              <w:top w:val="double" w:sz="4" w:space="0" w:color="auto"/>
              <w:left w:val="double" w:sz="4" w:space="0" w:color="auto"/>
              <w:bottom w:val="double" w:sz="4" w:space="0" w:color="auto"/>
              <w:right w:val="double" w:sz="4" w:space="0" w:color="auto"/>
            </w:tcBorders>
            <w:shd w:val="clear" w:color="auto" w:fill="FFFFFF"/>
            <w:vAlign w:val="center"/>
          </w:tcPr>
          <w:p w:rsidR="00000000" w:rsidRDefault="00C40079">
            <w:pPr>
              <w:tabs>
                <w:tab w:val="left" w:pos="360"/>
                <w:tab w:val="left" w:pos="720"/>
                <w:tab w:val="left" w:pos="1080"/>
                <w:tab w:val="left" w:pos="1440"/>
                <w:tab w:val="left" w:pos="1800"/>
                <w:tab w:val="left" w:pos="2160"/>
              </w:tabs>
              <w:jc w:val="center"/>
              <w:rPr>
                <w:sz w:val="24"/>
              </w:rPr>
            </w:pPr>
            <w:r>
              <w:rPr>
                <w:sz w:val="24"/>
              </w:rPr>
              <w:t>North Jersey Transportation</w:t>
            </w:r>
          </w:p>
          <w:p w:rsidR="00000000" w:rsidRDefault="00C40079">
            <w:pPr>
              <w:tabs>
                <w:tab w:val="left" w:pos="360"/>
                <w:tab w:val="left" w:pos="720"/>
                <w:tab w:val="left" w:pos="1080"/>
                <w:tab w:val="left" w:pos="1440"/>
                <w:tab w:val="left" w:pos="1800"/>
                <w:tab w:val="left" w:pos="2160"/>
              </w:tabs>
              <w:jc w:val="center"/>
              <w:rPr>
                <w:sz w:val="24"/>
              </w:rPr>
            </w:pPr>
            <w:r>
              <w:rPr>
                <w:sz w:val="24"/>
              </w:rPr>
              <w:t>Planning Authority</w:t>
            </w:r>
            <w:r>
              <w:rPr>
                <w:sz w:val="24"/>
                <w:vertAlign w:val="superscript"/>
              </w:rPr>
              <w:t>(2)</w:t>
            </w:r>
          </w:p>
        </w:tc>
        <w:tc>
          <w:tcPr>
            <w:tcW w:w="3420" w:type="dxa"/>
            <w:tcBorders>
              <w:top w:val="double" w:sz="4" w:space="0" w:color="auto"/>
              <w:left w:val="nil"/>
              <w:bottom w:val="double" w:sz="4" w:space="0" w:color="auto"/>
              <w:right w:val="double" w:sz="4" w:space="0" w:color="auto"/>
            </w:tcBorders>
            <w:shd w:val="clear" w:color="auto" w:fill="FFFFFF"/>
            <w:vAlign w:val="center"/>
          </w:tcPr>
          <w:p w:rsidR="00000000" w:rsidRDefault="00C40079">
            <w:pPr>
              <w:tabs>
                <w:tab w:val="left" w:pos="360"/>
                <w:tab w:val="left" w:pos="720"/>
                <w:tab w:val="left" w:pos="1080"/>
                <w:tab w:val="left" w:pos="1440"/>
                <w:tab w:val="left" w:pos="1800"/>
                <w:tab w:val="left" w:pos="2160"/>
              </w:tabs>
              <w:rPr>
                <w:sz w:val="24"/>
              </w:rPr>
            </w:pPr>
            <w:r>
              <w:rPr>
                <w:sz w:val="24"/>
              </w:rPr>
              <w:t xml:space="preserve">                      1,207</w:t>
            </w:r>
          </w:p>
        </w:tc>
        <w:tc>
          <w:tcPr>
            <w:tcW w:w="3060" w:type="dxa"/>
            <w:tcBorders>
              <w:top w:val="double" w:sz="4" w:space="0" w:color="auto"/>
              <w:left w:val="single" w:sz="8" w:space="0" w:color="auto"/>
              <w:bottom w:val="double" w:sz="4" w:space="0" w:color="auto"/>
              <w:right w:val="double" w:sz="4" w:space="0" w:color="auto"/>
            </w:tcBorders>
            <w:shd w:val="clear" w:color="auto" w:fill="FFFFFF"/>
            <w:vAlign w:val="center"/>
          </w:tcPr>
          <w:p w:rsidR="00000000" w:rsidRDefault="00C40079">
            <w:pPr>
              <w:tabs>
                <w:tab w:val="left" w:pos="360"/>
                <w:tab w:val="left" w:pos="720"/>
                <w:tab w:val="left" w:pos="1080"/>
                <w:tab w:val="left" w:pos="1440"/>
                <w:tab w:val="left" w:pos="1800"/>
                <w:tab w:val="left" w:pos="2160"/>
              </w:tabs>
              <w:jc w:val="center"/>
              <w:rPr>
                <w:sz w:val="24"/>
              </w:rPr>
            </w:pPr>
            <w:r>
              <w:rPr>
                <w:sz w:val="24"/>
              </w:rPr>
              <w:t>61,676</w:t>
            </w:r>
          </w:p>
        </w:tc>
      </w:tr>
      <w:tr w:rsidR="00000000">
        <w:tblPrEx>
          <w:tblCellMar>
            <w:top w:w="0" w:type="dxa"/>
            <w:bottom w:w="0" w:type="dxa"/>
          </w:tblCellMar>
        </w:tblPrEx>
        <w:trPr>
          <w:cantSplit/>
          <w:trHeight w:val="1000"/>
        </w:trPr>
        <w:tc>
          <w:tcPr>
            <w:tcW w:w="4140" w:type="dxa"/>
            <w:tcBorders>
              <w:top w:val="double" w:sz="4" w:space="0" w:color="auto"/>
              <w:left w:val="double" w:sz="4" w:space="0" w:color="auto"/>
              <w:bottom w:val="double" w:sz="4" w:space="0" w:color="auto"/>
              <w:right w:val="double" w:sz="4" w:space="0" w:color="auto"/>
            </w:tcBorders>
            <w:shd w:val="clear" w:color="auto" w:fill="FFFFFF"/>
            <w:vAlign w:val="center"/>
          </w:tcPr>
          <w:p w:rsidR="00000000" w:rsidRDefault="00C40079">
            <w:pPr>
              <w:tabs>
                <w:tab w:val="left" w:pos="360"/>
                <w:tab w:val="left" w:pos="720"/>
                <w:tab w:val="left" w:pos="1080"/>
                <w:tab w:val="left" w:pos="1440"/>
                <w:tab w:val="left" w:pos="1800"/>
                <w:tab w:val="left" w:pos="2160"/>
              </w:tabs>
              <w:jc w:val="center"/>
              <w:rPr>
                <w:sz w:val="24"/>
              </w:rPr>
            </w:pPr>
            <w:r>
              <w:rPr>
                <w:sz w:val="24"/>
              </w:rPr>
              <w:t>Delaware Valley Regional Planning Commission</w:t>
            </w:r>
            <w:r>
              <w:rPr>
                <w:sz w:val="24"/>
                <w:vertAlign w:val="superscript"/>
              </w:rPr>
              <w:t>(3)</w:t>
            </w:r>
          </w:p>
        </w:tc>
        <w:tc>
          <w:tcPr>
            <w:tcW w:w="3420" w:type="dxa"/>
            <w:tcBorders>
              <w:top w:val="double" w:sz="4" w:space="0" w:color="auto"/>
              <w:left w:val="nil"/>
              <w:bottom w:val="double" w:sz="4" w:space="0" w:color="auto"/>
              <w:right w:val="double" w:sz="4" w:space="0" w:color="auto"/>
            </w:tcBorders>
            <w:shd w:val="clear" w:color="auto" w:fill="FFFFFF"/>
            <w:vAlign w:val="center"/>
          </w:tcPr>
          <w:p w:rsidR="00000000" w:rsidRDefault="00C40079">
            <w:pPr>
              <w:tabs>
                <w:tab w:val="left" w:pos="360"/>
                <w:tab w:val="left" w:pos="720"/>
                <w:tab w:val="left" w:pos="1080"/>
                <w:tab w:val="left" w:pos="1440"/>
                <w:tab w:val="left" w:pos="1800"/>
                <w:tab w:val="left" w:pos="2160"/>
              </w:tabs>
              <w:rPr>
                <w:sz w:val="24"/>
              </w:rPr>
            </w:pPr>
            <w:r>
              <w:rPr>
                <w:sz w:val="24"/>
              </w:rPr>
              <w:t xml:space="preserve">                          89</w:t>
            </w:r>
          </w:p>
        </w:tc>
        <w:tc>
          <w:tcPr>
            <w:tcW w:w="3060" w:type="dxa"/>
            <w:tcBorders>
              <w:top w:val="double" w:sz="4" w:space="0" w:color="auto"/>
              <w:left w:val="single" w:sz="8" w:space="0" w:color="auto"/>
              <w:bottom w:val="double" w:sz="4" w:space="0" w:color="auto"/>
              <w:right w:val="double" w:sz="4" w:space="0" w:color="auto"/>
            </w:tcBorders>
            <w:shd w:val="clear" w:color="auto" w:fill="FFFFFF"/>
            <w:vAlign w:val="center"/>
          </w:tcPr>
          <w:p w:rsidR="00000000" w:rsidRDefault="00C40079">
            <w:pPr>
              <w:tabs>
                <w:tab w:val="left" w:pos="360"/>
                <w:tab w:val="left" w:pos="720"/>
                <w:tab w:val="left" w:pos="1080"/>
                <w:tab w:val="left" w:pos="1440"/>
                <w:tab w:val="left" w:pos="1800"/>
                <w:tab w:val="left" w:pos="2160"/>
              </w:tabs>
              <w:jc w:val="center"/>
              <w:rPr>
                <w:sz w:val="24"/>
              </w:rPr>
            </w:pPr>
            <w:r>
              <w:rPr>
                <w:sz w:val="24"/>
              </w:rPr>
              <w:t xml:space="preserve"> 4,328</w:t>
            </w:r>
          </w:p>
        </w:tc>
      </w:tr>
    </w:tbl>
    <w:p w:rsidR="00000000" w:rsidRDefault="00C40079">
      <w:pPr>
        <w:pStyle w:val="BodyText3"/>
        <w:tabs>
          <w:tab w:val="left" w:pos="360"/>
          <w:tab w:val="left" w:pos="720"/>
          <w:tab w:val="left" w:pos="1080"/>
          <w:tab w:val="left" w:pos="1440"/>
          <w:tab w:val="left" w:pos="1800"/>
          <w:tab w:val="left" w:pos="2160"/>
        </w:tabs>
        <w:rPr>
          <w:rFonts w:ascii="Times New Roman" w:hAnsi="Times New Roman"/>
          <w:sz w:val="22"/>
        </w:rPr>
      </w:pPr>
      <w:r>
        <w:rPr>
          <w:rFonts w:ascii="Times New Roman" w:hAnsi="Times New Roman"/>
          <w:sz w:val="22"/>
        </w:rPr>
        <w:t>NOTES:</w:t>
      </w:r>
    </w:p>
    <w:p w:rsidR="00000000" w:rsidRDefault="00C40079">
      <w:pPr>
        <w:pStyle w:val="BodyText3"/>
        <w:numPr>
          <w:ilvl w:val="0"/>
          <w:numId w:val="6"/>
        </w:numPr>
        <w:tabs>
          <w:tab w:val="clear" w:pos="435"/>
          <w:tab w:val="num" w:pos="360"/>
          <w:tab w:val="left" w:pos="720"/>
          <w:tab w:val="left" w:pos="1080"/>
          <w:tab w:val="left" w:pos="1440"/>
          <w:tab w:val="left" w:pos="1800"/>
          <w:tab w:val="left" w:pos="2160"/>
        </w:tabs>
        <w:ind w:left="360" w:hanging="360"/>
        <w:rPr>
          <w:rFonts w:ascii="Times New (W1)" w:hAnsi="Times New (W1)"/>
          <w:sz w:val="22"/>
        </w:rPr>
      </w:pPr>
      <w:r>
        <w:rPr>
          <w:rFonts w:ascii="Times New (W1)" w:hAnsi="Times New (W1)"/>
          <w:sz w:val="22"/>
        </w:rPr>
        <w:t>Direct PM</w:t>
      </w:r>
      <w:r>
        <w:rPr>
          <w:rFonts w:ascii="Times New (W1)" w:hAnsi="Times New (W1)"/>
          <w:sz w:val="22"/>
          <w:vertAlign w:val="subscript"/>
        </w:rPr>
        <w:t>2.5</w:t>
      </w:r>
      <w:r>
        <w:rPr>
          <w:rFonts w:ascii="Times New (W1)" w:hAnsi="Times New (W1)"/>
          <w:sz w:val="22"/>
        </w:rPr>
        <w:t xml:space="preserve"> consists of the sum of: SO</w:t>
      </w:r>
      <w:r>
        <w:rPr>
          <w:rFonts w:ascii="Times New (W1)" w:hAnsi="Times New (W1)"/>
          <w:sz w:val="22"/>
          <w:vertAlign w:val="subscript"/>
        </w:rPr>
        <w:t>4</w:t>
      </w:r>
      <w:r>
        <w:rPr>
          <w:rFonts w:ascii="Times New (W1)" w:hAnsi="Times New (W1)"/>
          <w:sz w:val="22"/>
        </w:rPr>
        <w:t>, Organic</w:t>
      </w:r>
      <w:r>
        <w:rPr>
          <w:rFonts w:ascii="Times New (W1)" w:hAnsi="Times New (W1)"/>
          <w:sz w:val="22"/>
        </w:rPr>
        <w:t xml:space="preserve"> Carbon, Elemental Carbon, particulate Matter from gasoline vehicles, lead, brake particles, and tire particles.   </w:t>
      </w:r>
    </w:p>
    <w:p w:rsidR="00000000" w:rsidRDefault="00C40079">
      <w:pPr>
        <w:pStyle w:val="BodyText3"/>
        <w:numPr>
          <w:ilvl w:val="0"/>
          <w:numId w:val="6"/>
        </w:numPr>
        <w:tabs>
          <w:tab w:val="left" w:pos="360"/>
          <w:tab w:val="left" w:pos="720"/>
          <w:tab w:val="left" w:pos="1080"/>
          <w:tab w:val="left" w:pos="1440"/>
          <w:tab w:val="left" w:pos="1800"/>
          <w:tab w:val="left" w:pos="2160"/>
        </w:tabs>
        <w:rPr>
          <w:rFonts w:ascii="Times New (W1)" w:hAnsi="Times New (W1)"/>
          <w:sz w:val="22"/>
        </w:rPr>
      </w:pPr>
      <w:r>
        <w:rPr>
          <w:rFonts w:ascii="Times New (W1)" w:hAnsi="Times New (W1)"/>
          <w:sz w:val="22"/>
        </w:rPr>
        <w:t>For Bergen, Essex, Hudson, Middlesex, Monmouth, Morris, Passaic, Somerset and Union Counties.</w:t>
      </w:r>
    </w:p>
    <w:p w:rsidR="00000000" w:rsidRDefault="00C40079">
      <w:pPr>
        <w:pStyle w:val="BodyText3"/>
        <w:numPr>
          <w:ilvl w:val="0"/>
          <w:numId w:val="6"/>
        </w:numPr>
        <w:tabs>
          <w:tab w:val="left" w:pos="360"/>
          <w:tab w:val="left" w:pos="720"/>
          <w:tab w:val="left" w:pos="1080"/>
          <w:tab w:val="left" w:pos="1440"/>
          <w:tab w:val="left" w:pos="1800"/>
          <w:tab w:val="left" w:pos="2160"/>
        </w:tabs>
        <w:rPr>
          <w:rFonts w:ascii="Times New (W1)" w:hAnsi="Times New (W1)"/>
          <w:sz w:val="22"/>
        </w:rPr>
      </w:pPr>
      <w:r>
        <w:rPr>
          <w:rFonts w:ascii="Times New (W1)" w:hAnsi="Times New (W1)"/>
          <w:sz w:val="22"/>
        </w:rPr>
        <w:t>For Mercer County.</w:t>
      </w:r>
    </w:p>
    <w:p w:rsidR="00000000" w:rsidRDefault="00C40079">
      <w:pPr>
        <w:pStyle w:val="Level2"/>
        <w:tabs>
          <w:tab w:val="left" w:pos="720"/>
          <w:tab w:val="left" w:pos="1080"/>
          <w:tab w:val="left" w:pos="1440"/>
          <w:tab w:val="left" w:pos="1800"/>
          <w:tab w:val="left" w:pos="2160"/>
        </w:tabs>
        <w:rPr>
          <w:u w:val="single"/>
        </w:rPr>
      </w:pPr>
    </w:p>
    <w:p w:rsidR="00000000" w:rsidRDefault="00C40079">
      <w:pPr>
        <w:pStyle w:val="Level2"/>
        <w:tabs>
          <w:tab w:val="left" w:pos="720"/>
          <w:tab w:val="left" w:pos="1080"/>
          <w:tab w:val="left" w:pos="1440"/>
          <w:tab w:val="left" w:pos="1800"/>
          <w:tab w:val="left" w:pos="2160"/>
        </w:tabs>
      </w:pPr>
      <w:r>
        <w:rPr>
          <w:u w:val="single"/>
        </w:rPr>
        <w:t>Carbon Monoxide Limited Ma</w:t>
      </w:r>
      <w:r>
        <w:rPr>
          <w:u w:val="single"/>
        </w:rPr>
        <w:t>intenance Plan</w:t>
      </w:r>
      <w:r>
        <w:t>:</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 w:val="left" w:pos="5040"/>
        </w:tabs>
      </w:pPr>
      <w:r>
        <w:t>According to 42 U.S.C. §7505a(b) New Jersey is proposing the second ten-year maintenance plans for ten of its eleven carbon monoxide maintenance areas whose initial maintenance plans expire in 2007.  The ten maintenance areas are:</w:t>
      </w: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10"/>
        </w:numPr>
        <w:tabs>
          <w:tab w:val="clear" w:pos="360"/>
          <w:tab w:val="left" w:pos="720"/>
          <w:tab w:val="left" w:pos="1080"/>
          <w:tab w:val="left" w:pos="1440"/>
          <w:tab w:val="left" w:pos="1800"/>
          <w:tab w:val="left" w:pos="2160"/>
        </w:tabs>
        <w:ind w:left="720"/>
      </w:pPr>
      <w:r>
        <w:rPr>
          <w:b/>
        </w:rPr>
        <w:t>The Cam</w:t>
      </w:r>
      <w:r>
        <w:rPr>
          <w:b/>
        </w:rPr>
        <w:t>den County Carbon Monoxide Maintenance Area</w:t>
      </w:r>
      <w:r>
        <w:t xml:space="preserve"> – covering all of Camden County; and,</w:t>
      </w:r>
    </w:p>
    <w:p w:rsidR="00000000" w:rsidRDefault="00C40079">
      <w:pPr>
        <w:pStyle w:val="Level2"/>
        <w:numPr>
          <w:ilvl w:val="0"/>
          <w:numId w:val="10"/>
        </w:numPr>
        <w:tabs>
          <w:tab w:val="clear" w:pos="360"/>
          <w:tab w:val="left" w:pos="720"/>
          <w:tab w:val="left" w:pos="1080"/>
          <w:tab w:val="left" w:pos="1440"/>
          <w:tab w:val="left" w:pos="1800"/>
          <w:tab w:val="left" w:pos="2160"/>
        </w:tabs>
        <w:ind w:left="720"/>
      </w:pPr>
      <w:r>
        <w:rPr>
          <w:b/>
        </w:rPr>
        <w:t>The Nine Not-Classified Carbon Monoxide Maintenance Areas</w:t>
      </w:r>
      <w:r>
        <w:t xml:space="preserve"> – covering the City of Atlantic City (in Atlantic County), the City of Burlington (in Burlington County), the Boroug</w:t>
      </w:r>
      <w:r>
        <w:t>h of Freehold (in Monmouth County), the Town of Morristown (in Morris County), the Borough of Penns Grove (in Salem County), the City of Perth Amboy (in Middlesex County), the Borough of Somerville (in Somerset County), the Toms River Area (in Ocean County</w:t>
      </w:r>
      <w:r>
        <w:t>), and the City of Trenton (in Mercer County).</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In an effort to consolidate the preparation of these second ten-year maintenance plans, the State is proposing a consolidated Limited Maintenance Plan encompassing all ten (10) areas, covering the second ten-</w:t>
      </w:r>
      <w:r>
        <w:t>year maintenance period.  New Jersey’s eleventh carbon monoxide maintenance area, encompassing four counties and part of a fifth county in the Northeastern portion of the State, has an initial maintenance plan that does not expire until 2014.  As such, thi</w:t>
      </w:r>
      <w:r>
        <w:t>s area is not required and not able to submit a second ten-year plan until around 2012.</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This proposed carbon monoxide Limited Maintenance Plan demonstrates that the New Jersey carbon monoxide maintenance areas continue to be in attainment of the health-ba</w:t>
      </w:r>
      <w:r>
        <w:t xml:space="preserve">sed NAAQS for carbon monoxide and will continue to be in attainment for another ten (10) years.  In general, monitoring data for these areas show a trend of decreasing carbon monoxide concentrations in </w:t>
      </w:r>
      <w:r>
        <w:lastRenderedPageBreak/>
        <w:t xml:space="preserve">the air over the past decade.  These improvements are </w:t>
      </w:r>
      <w:r>
        <w:t>due to permanent and enforceable measures that the state and federal government have implemented, and not necessarily attributable to favorable meteorology or other factors.  Despite the growth in economic activity, vehicle miles traveled, and population t</w:t>
      </w:r>
      <w:r>
        <w:t xml:space="preserve">hat have and are expected to occur, the maintenance areas are expected to meet the health-based carbon monoxide NAAQS through the remainder of the their first ten-tear maintenance plans and all of the second ten-year maintenance plans.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Finally, in compl</w:t>
      </w:r>
      <w:r>
        <w:t>iance with the USEPA’s Limited Maintenance Plan Guidance,</w:t>
      </w:r>
      <w:r>
        <w:rPr>
          <w:rStyle w:val="FootnoteReference"/>
          <w:vertAlign w:val="superscript"/>
        </w:rPr>
        <w:footnoteReference w:id="4"/>
      </w:r>
      <w:r>
        <w:t xml:space="preserve"> the emission budgets in these Limited Maintenance Plan areas are now treated as not constraining for purposes of transportation conformity.  This is true for the length of the maintenance periods b</w:t>
      </w:r>
      <w:r>
        <w:t>ecause it is unreasonable to expect that the area would experience so much growth in that period that a violation of the carbon monoxide NAAQS would result.  As such, once a Limited Maintenance Plan has been approved for these areas, it will no longer be n</w:t>
      </w:r>
      <w:r>
        <w:t>ecessary for the Metropolitan Planning Organizations to perform numerical regional analyses to demonstrate transportation conformity for Transportation Plans and Transportation Improvement Programs.  However, project-level carbon monoxide evaluation of tra</w:t>
      </w:r>
      <w:r>
        <w:t>nsportation projects (project-level conformity) still needs to be performed in areas with approved Limited Maintenance Plans.</w:t>
      </w:r>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rPr>
          <w:u w:val="single"/>
        </w:rPr>
        <w:t>2002 Periodic Emission Inventory</w:t>
      </w:r>
      <w:r>
        <w:t>:</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42 U.S.C. §7410(a)(2)(F) requires the submission by states to the USEPA of periodic reports o</w:t>
      </w:r>
      <w:r>
        <w:t>n the nature and amounts of emissions and emissions related data.  In 2002, the USEPA promulgated the Consolidated Emission Reporting Rule at 40 CFR 51, Subpart A.  As indicated by its name, this rule “consolidated” the various emissions reporting requirem</w:t>
      </w:r>
      <w:r>
        <w:t>ents that already had established for existing NAAQS (e.g., ozone (VOC and NO</w:t>
      </w:r>
      <w:r>
        <w:rPr>
          <w:vertAlign w:val="subscript"/>
        </w:rPr>
        <w:t>x</w:t>
      </w:r>
      <w:r>
        <w:t xml:space="preserve">), carbon monoxide, etc.) into one location within the Code of Federal Regulations.  In addition, the Consolidated Emission Reporting Rule: </w:t>
      </w:r>
    </w:p>
    <w:p w:rsidR="00000000" w:rsidRDefault="00C40079">
      <w:pPr>
        <w:pStyle w:val="Level2"/>
        <w:tabs>
          <w:tab w:val="left" w:pos="720"/>
          <w:tab w:val="left" w:pos="1080"/>
          <w:tab w:val="left" w:pos="1440"/>
          <w:tab w:val="left" w:pos="1800"/>
          <w:tab w:val="left" w:pos="2160"/>
        </w:tabs>
      </w:pPr>
      <w:r>
        <w:t xml:space="preserve"> </w:t>
      </w:r>
    </w:p>
    <w:p w:rsidR="00000000" w:rsidRDefault="00C40079">
      <w:pPr>
        <w:pStyle w:val="Level2"/>
        <w:numPr>
          <w:ilvl w:val="0"/>
          <w:numId w:val="11"/>
        </w:numPr>
        <w:tabs>
          <w:tab w:val="clear" w:pos="360"/>
          <w:tab w:val="left" w:pos="720"/>
          <w:tab w:val="left" w:pos="1080"/>
          <w:tab w:val="left" w:pos="1440"/>
          <w:tab w:val="left" w:pos="1800"/>
          <w:tab w:val="left" w:pos="2160"/>
        </w:tabs>
        <w:ind w:left="720"/>
      </w:pPr>
      <w:r>
        <w:t>Established new reporting requireme</w:t>
      </w:r>
      <w:r>
        <w:t>nts related to PM</w:t>
      </w:r>
      <w:r>
        <w:rPr>
          <w:vertAlign w:val="subscript"/>
        </w:rPr>
        <w:t>2.5</w:t>
      </w:r>
      <w:r>
        <w:t>, its potential precursors (ammonia (NH</w:t>
      </w:r>
      <w:r>
        <w:rPr>
          <w:vertAlign w:val="subscript"/>
        </w:rPr>
        <w:t>3</w:t>
      </w:r>
      <w:r>
        <w:t>), oxides of sulfur (SO</w:t>
      </w:r>
      <w:r>
        <w:rPr>
          <w:vertAlign w:val="subscript"/>
        </w:rPr>
        <w:t>x</w:t>
      </w:r>
      <w:r>
        <w:t>), NO</w:t>
      </w:r>
      <w:r>
        <w:rPr>
          <w:vertAlign w:val="subscript"/>
        </w:rPr>
        <w:t>x</w:t>
      </w:r>
      <w:r>
        <w:t xml:space="preserve"> and VOC), and regional haze; </w:t>
      </w:r>
    </w:p>
    <w:p w:rsidR="00000000" w:rsidRDefault="00C40079">
      <w:pPr>
        <w:pStyle w:val="Level2"/>
        <w:numPr>
          <w:ilvl w:val="0"/>
          <w:numId w:val="11"/>
        </w:numPr>
        <w:tabs>
          <w:tab w:val="clear" w:pos="360"/>
          <w:tab w:val="left" w:pos="720"/>
          <w:tab w:val="left" w:pos="1080"/>
          <w:tab w:val="left" w:pos="1440"/>
          <w:tab w:val="left" w:pos="1800"/>
          <w:tab w:val="left" w:pos="2160"/>
        </w:tabs>
        <w:ind w:left="720"/>
      </w:pPr>
      <w:r>
        <w:t xml:space="preserve">Established new requirements for the statewide reporting of area source and mobile source emissions; and, </w:t>
      </w:r>
    </w:p>
    <w:p w:rsidR="00000000" w:rsidRDefault="00C40079">
      <w:pPr>
        <w:pStyle w:val="Level2"/>
        <w:numPr>
          <w:ilvl w:val="0"/>
          <w:numId w:val="11"/>
        </w:numPr>
        <w:tabs>
          <w:tab w:val="clear" w:pos="360"/>
          <w:tab w:val="left" w:pos="720"/>
          <w:tab w:val="left" w:pos="1080"/>
          <w:tab w:val="left" w:pos="1440"/>
          <w:tab w:val="left" w:pos="1800"/>
          <w:tab w:val="left" w:pos="2160"/>
        </w:tabs>
        <w:ind w:left="720"/>
      </w:pPr>
      <w:r>
        <w:t>Required two types of invent</w:t>
      </w:r>
      <w:r>
        <w:t>ories (annual inventories and three year cycle inventories).</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New Jersey’s proposed 2002 Periodic Emission Inventory meets the new Consolidated Emission Reporting Rule requirements and establishes 2002 as the base year for future attainment planning purpos</w:t>
      </w:r>
      <w:r>
        <w:t>es with respect to 8-hour ozone, PM</w:t>
      </w:r>
      <w:r>
        <w:rPr>
          <w:vertAlign w:val="subscript"/>
        </w:rPr>
        <w:t>2.5</w:t>
      </w:r>
      <w:r>
        <w:t xml:space="preserve"> and regional haze, as required by the USEPA.  This proposed inventory is a compilation of the emissions from sources of biogenic (natural) and anthropogenic (human-made) VOC, NO</w:t>
      </w:r>
      <w:r>
        <w:rPr>
          <w:vertAlign w:val="subscript"/>
        </w:rPr>
        <w:t>x</w:t>
      </w:r>
      <w:r>
        <w:t>, carbon monoxide, particulate matter l</w:t>
      </w:r>
      <w:r>
        <w:t>ess than 10 micrometers in diameter (PM</w:t>
      </w:r>
      <w:r>
        <w:rPr>
          <w:vertAlign w:val="subscript"/>
        </w:rPr>
        <w:t>10</w:t>
      </w:r>
      <w:r>
        <w:t>), PM</w:t>
      </w:r>
      <w:r>
        <w:rPr>
          <w:vertAlign w:val="subscript"/>
        </w:rPr>
        <w:t>2.5</w:t>
      </w:r>
      <w:r>
        <w:t>, sulfur dioxide (SO</w:t>
      </w:r>
      <w:r>
        <w:rPr>
          <w:vertAlign w:val="subscript"/>
        </w:rPr>
        <w:t>2</w:t>
      </w:r>
      <w:r>
        <w:t>)</w:t>
      </w:r>
      <w:r>
        <w:rPr>
          <w:rStyle w:val="FootnoteReference"/>
          <w:sz w:val="20"/>
          <w:vertAlign w:val="superscript"/>
        </w:rPr>
        <w:footnoteReference w:id="5"/>
      </w:r>
      <w:r>
        <w:t xml:space="preserve"> and ammonia (NH</w:t>
      </w:r>
      <w:r>
        <w:rPr>
          <w:vertAlign w:val="subscript"/>
        </w:rPr>
        <w:t>3</w:t>
      </w:r>
      <w:r>
        <w:t xml:space="preserve">) in the outdoor </w:t>
      </w:r>
      <w:r>
        <w:lastRenderedPageBreak/>
        <w:t>air.  The sources are divided into five sectors and each making up one component of the inventory: point sources, area (nonpoint) sources, onroad sour</w:t>
      </w:r>
      <w:r>
        <w:t>ces, nonroad sources, and biogenic sources.</w:t>
      </w:r>
    </w:p>
    <w:p w:rsidR="00000000" w:rsidRDefault="00C40079">
      <w:pPr>
        <w:pStyle w:val="Level2"/>
        <w:tabs>
          <w:tab w:val="left" w:pos="720"/>
          <w:tab w:val="left" w:pos="1080"/>
          <w:tab w:val="left" w:pos="1440"/>
          <w:tab w:val="left" w:pos="1800"/>
          <w:tab w:val="left" w:pos="2160"/>
        </w:tabs>
      </w:pPr>
    </w:p>
    <w:p w:rsidR="00000000" w:rsidRDefault="00C40079">
      <w:pPr>
        <w:pStyle w:val="Level2"/>
        <w:widowControl/>
        <w:rPr>
          <w:snapToGrid w:val="0"/>
        </w:rPr>
      </w:pPr>
      <w:r>
        <w:rPr>
          <w:snapToGrid w:val="0"/>
        </w:rPr>
        <w:t>The pie charts on the following pages show the major air contaminants estimated within the 2002 Emissions Inventory.  As can be seen from these charts, VOC emissions are occurring from all sectors of the invento</w:t>
      </w:r>
      <w:r>
        <w:rPr>
          <w:snapToGrid w:val="0"/>
        </w:rPr>
        <w:t>ry with no sector having a much more predominant role than the others. On-Road mobile sources predominate the NO</w:t>
      </w:r>
      <w:r>
        <w:rPr>
          <w:rFonts w:ascii="Times New (W1)" w:hAnsi="Times New (W1)"/>
          <w:snapToGrid w:val="0"/>
          <w:vertAlign w:val="subscript"/>
        </w:rPr>
        <w:t>x</w:t>
      </w:r>
      <w:r>
        <w:rPr>
          <w:snapToGrid w:val="0"/>
        </w:rPr>
        <w:t xml:space="preserve"> and carbon monoxide emissions and point sources predominate the sulfur dioxide emissions. Area sources predominate the releases of ammonia and</w:t>
      </w:r>
      <w:r>
        <w:rPr>
          <w:snapToGrid w:val="0"/>
        </w:rPr>
        <w:t xml:space="preserve"> particulate matter (PM</w:t>
      </w:r>
      <w:r>
        <w:rPr>
          <w:rFonts w:ascii="Times New (W1)" w:hAnsi="Times New (W1)"/>
          <w:snapToGrid w:val="0"/>
          <w:vertAlign w:val="subscript"/>
        </w:rPr>
        <w:t>2.5</w:t>
      </w:r>
      <w:r>
        <w:rPr>
          <w:snapToGrid w:val="0"/>
        </w:rPr>
        <w:t xml:space="preserve"> and PM</w:t>
      </w:r>
      <w:r>
        <w:rPr>
          <w:rFonts w:ascii="Times New (W1)" w:hAnsi="Times New (W1)"/>
          <w:snapToGrid w:val="0"/>
          <w:vertAlign w:val="subscript"/>
        </w:rPr>
        <w:t>10</w:t>
      </w:r>
      <w:r>
        <w:rPr>
          <w:snapToGrid w:val="0"/>
        </w:rPr>
        <w:t>).</w:t>
      </w:r>
    </w:p>
    <w:p w:rsidR="00000000" w:rsidRDefault="00C40079">
      <w:pPr>
        <w:pStyle w:val="Level2"/>
        <w:widowControl/>
        <w:rPr>
          <w:snapToGrid w:val="0"/>
        </w:rPr>
      </w:pPr>
      <w:r>
        <w:object w:dxaOrig="0" w:dyaOrig="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113" type="#_x0000_t75" style="position:absolute;margin-left:3in;margin-top:13.8pt;width:295.5pt;height:219pt;z-index:9;mso-position-horizontal:absolute;mso-position-horizontal-relative:text;mso-position-vertical:absolute;mso-position-vertical-relative:text" o:allowincell="f">
            <v:imagedata r:id="rId11" o:title=""/>
            <w10:wrap type="topAndBottom"/>
          </v:shape>
          <o:OLEObject Type="Embed" ProgID="Excel.Sheet.8" ShapeID="_x0000_s1113" DrawAspect="Content" ObjectID="_1667111047" r:id="rId12"/>
        </w:object>
      </w:r>
      <w:r>
        <w:object w:dxaOrig="0" w:dyaOrig="0">
          <v:shape id="_x0000_s1112" type="#_x0000_t75" style="position:absolute;margin-left:-50.4pt;margin-top:13.8pt;width:296.25pt;height:219.75pt;z-index:8;mso-position-horizontal:absolute;mso-position-horizontal-relative:text;mso-position-vertical:absolute;mso-position-vertical-relative:text" o:allowincell="f">
            <v:imagedata r:id="rId13" o:title=""/>
            <w10:wrap type="topAndBottom"/>
          </v:shape>
          <o:OLEObject Type="Embed" ProgID="Excel.Sheet.8" ShapeID="_x0000_s1112" DrawAspect="Content" ObjectID="_1667111048" r:id="rId14"/>
        </w:object>
      </w:r>
    </w:p>
    <w:p w:rsidR="00000000" w:rsidRDefault="00C40079">
      <w:pPr>
        <w:pStyle w:val="Level2"/>
        <w:widowControl/>
        <w:rPr>
          <w:snapToGrid w:val="0"/>
        </w:rPr>
      </w:pPr>
      <w:r>
        <w:object w:dxaOrig="0" w:dyaOrig="0">
          <v:shape id="_x0000_s1115" type="#_x0000_t75" style="position:absolute;margin-left:230.4pt;margin-top:252pt;width:295.5pt;height:218.25pt;z-index:11;mso-position-horizontal:absolute;mso-position-horizontal-relative:text;mso-position-vertical:absolute;mso-position-vertical-relative:text" o:allowincell="f">
            <v:imagedata r:id="rId15" o:title=""/>
            <w10:wrap type="topAndBottom"/>
          </v:shape>
          <o:OLEObject Type="Embed" ProgID="Excel.Sheet.8" ShapeID="_x0000_s1115" DrawAspect="Content" ObjectID="_1667111049" r:id="rId16"/>
        </w:object>
      </w:r>
      <w:r>
        <w:object w:dxaOrig="0" w:dyaOrig="0">
          <v:shape id="_x0000_s1114" type="#_x0000_t75" style="position:absolute;margin-left:-36pt;margin-top:252pt;width:296.25pt;height:219pt;z-index:10;mso-position-horizontal:absolute;mso-position-horizontal-relative:text;mso-position-vertical:absolute;mso-position-vertical-relative:text" o:allowincell="f">
            <v:imagedata r:id="rId17" o:title=""/>
            <w10:wrap type="topAndBottom"/>
          </v:shape>
          <o:OLEObject Type="Embed" ProgID="Excel.Sheet.8" ShapeID="_x0000_s1114" DrawAspect="Content" ObjectID="_1667111050" r:id="rId18"/>
        </w:object>
      </w:r>
    </w:p>
    <w:p w:rsidR="00000000" w:rsidRDefault="00C40079">
      <w:pPr>
        <w:pStyle w:val="Level2"/>
        <w:widowControl/>
        <w:rPr>
          <w:snapToGrid w:val="0"/>
        </w:rPr>
      </w:pPr>
    </w:p>
    <w:p w:rsidR="00000000" w:rsidRDefault="00C40079">
      <w:pPr>
        <w:pStyle w:val="Level2"/>
        <w:widowControl/>
        <w:rPr>
          <w:snapToGrid w:val="0"/>
        </w:rPr>
      </w:pPr>
    </w:p>
    <w:p w:rsidR="00000000" w:rsidRDefault="00C40079">
      <w:pPr>
        <w:pStyle w:val="Level2"/>
        <w:widowControl/>
        <w:rPr>
          <w:snapToGrid w:val="0"/>
        </w:rPr>
      </w:pPr>
      <w:r>
        <w:lastRenderedPageBreak/>
        <w:object w:dxaOrig="0" w:dyaOrig="0">
          <v:shape id="_x0000_s1117" type="#_x0000_t75" style="position:absolute;margin-left:230.4pt;margin-top:252pt;width:295.5pt;height:218.25pt;z-index:13;mso-position-horizontal:absolute;mso-position-horizontal-relative:text;mso-position-vertical:absolute;mso-position-vertical-relative:text" o:allowincell="f">
            <v:imagedata r:id="rId15" o:title=""/>
            <w10:wrap type="topAndBottom"/>
          </v:shape>
          <o:OLEObject Type="Embed" ProgID="Excel.Sheet.8" ShapeID="_x0000_s1117" DrawAspect="Content" ObjectID="_1667111051" r:id="rId19"/>
        </w:object>
      </w:r>
      <w:r>
        <w:object w:dxaOrig="0" w:dyaOrig="0">
          <v:shape id="_x0000_s1116" type="#_x0000_t75" style="position:absolute;margin-left:-36pt;margin-top:252pt;width:296.25pt;height:219pt;z-index:12;mso-position-horizontal:absolute;mso-position-horizontal-relative:text;mso-position-vertical:absolute;mso-position-vertical-relative:text" o:allowincell="f">
            <v:imagedata r:id="rId17" o:title=""/>
            <w10:wrap type="topAndBottom"/>
          </v:shape>
          <o:OLEObject Type="Embed" ProgID="Excel.Sheet.8" ShapeID="_x0000_s1116" DrawAspect="Content" ObjectID="_1667111052" r:id="rId20"/>
        </w:object>
      </w:r>
      <w:r>
        <w:object w:dxaOrig="0" w:dyaOrig="0">
          <v:shape id="_x0000_s1122" type="#_x0000_t75" style="position:absolute;margin-left:-57.6pt;margin-top:230.4pt;width:318pt;height:216.75pt;z-index:18;mso-position-horizontal:absolute;mso-position-horizontal-relative:text;mso-position-vertical:absolute;mso-position-vertical-relative:text" o:allowincell="f">
            <v:imagedata r:id="rId21" o:title=""/>
            <w10:wrap type="topAndBottom"/>
          </v:shape>
          <o:OLEObject Type="Embed" ProgID="Excel.Sheet.8" ShapeID="_x0000_s1122" DrawAspect="Content" ObjectID="_1667111053" r:id="rId22"/>
        </w:object>
      </w:r>
      <w:r>
        <w:object w:dxaOrig="0" w:dyaOrig="0">
          <v:shape id="_x0000_s1123" type="#_x0000_t75" style="position:absolute;margin-left:-28.8pt;margin-top:468.75pt;width:285.75pt;height:252.75pt;z-index:19;mso-position-horizontal:absolute;mso-position-horizontal-relative:text;mso-position-vertical:absolute;mso-position-vertical-relative:text" o:allowincell="f">
            <v:imagedata r:id="rId23" o:title=""/>
            <w10:wrap type="topAndBottom"/>
          </v:shape>
          <o:OLEObject Type="Embed" ProgID="Excel.Sheet.8" ShapeID="_x0000_s1123" DrawAspect="Content" ObjectID="_1667111054" r:id="rId24"/>
        </w:object>
      </w:r>
      <w:r>
        <w:object w:dxaOrig="0" w:dyaOrig="0">
          <v:shape id="_x0000_s1120" type="#_x0000_t75" style="position:absolute;margin-left:223.2pt;margin-top:453.6pt;width:291.75pt;height:265.5pt;z-index:16;mso-position-horizontal:absolute;mso-position-horizontal-relative:text;mso-position-vertical:absolute;mso-position-vertical-relative:text" o:allowincell="f">
            <v:imagedata r:id="rId25" o:title=""/>
            <w10:wrap type="topAndBottom"/>
          </v:shape>
          <o:OLEObject Type="Embed" ProgID="Excel.Sheet.8" ShapeID="_x0000_s1120" DrawAspect="Content" ObjectID="_1667111055" r:id="rId26"/>
        </w:object>
      </w:r>
      <w:r>
        <w:object w:dxaOrig="0" w:dyaOrig="0">
          <v:shape id="_x0000_s1121" type="#_x0000_t75" style="position:absolute;margin-left:209.1pt;margin-top:208.8pt;width:331.5pt;height:236.25pt;z-index:17;mso-position-horizontal:absolute;mso-position-horizontal-relative:text;mso-position-vertical:absolute;mso-position-vertical-relative:text" o:allowincell="f">
            <v:imagedata r:id="rId27" o:title=""/>
            <w10:wrap type="topAndBottom"/>
          </v:shape>
          <o:OLEObject Type="Embed" ProgID="Excel.Sheet.8" ShapeID="_x0000_s1121" DrawAspect="Content" ObjectID="_1667111056" r:id="rId28"/>
        </w:object>
      </w:r>
      <w:r>
        <w:object w:dxaOrig="0" w:dyaOrig="0">
          <v:shape id="_x0000_s1119" type="#_x0000_t75" style="position:absolute;margin-left:3in;margin-top:-21.6pt;width:297.75pt;height:263.25pt;z-index:15;mso-position-horizontal:absolute;mso-position-horizontal-relative:text;mso-position-vertical:absolute;mso-position-vertical-relative:text" o:allowincell="f">
            <v:imagedata r:id="rId29" o:title=""/>
            <w10:wrap type="topAndBottom"/>
          </v:shape>
          <o:OLEObject Type="Embed" ProgID="Excel.Sheet.8" ShapeID="_x0000_s1119" DrawAspect="Content" ObjectID="_1667111057" r:id="rId30"/>
        </w:object>
      </w:r>
      <w:r>
        <w:object w:dxaOrig="0" w:dyaOrig="0">
          <v:shape id="_x0000_s1118" type="#_x0000_t75" style="position:absolute;margin-left:-57.6pt;margin-top:-7.2pt;width:329.25pt;height:229.5pt;z-index:14;mso-position-horizontal:absolute;mso-position-horizontal-relative:text;mso-position-vertical:absolute;mso-position-vertical-relative:text" o:allowincell="f">
            <v:imagedata r:id="rId31" o:title=""/>
            <w10:wrap type="topAndBottom"/>
          </v:shape>
          <o:OLEObject Type="Embed" ProgID="Excel.Sheet.8" ShapeID="_x0000_s1118" DrawAspect="Content" ObjectID="_1667111058" r:id="rId32"/>
        </w:object>
      </w:r>
    </w:p>
    <w:p w:rsidR="00000000" w:rsidRDefault="00C40079">
      <w:pPr>
        <w:pStyle w:val="Level2"/>
        <w:widowControl/>
        <w:rPr>
          <w:snapToGrid w:val="0"/>
        </w:rPr>
        <w:sectPr w:rsidR="00000000">
          <w:pgSz w:w="12240" w:h="15840"/>
          <w:pgMar w:top="1440" w:right="1440" w:bottom="1440" w:left="1440" w:header="720" w:footer="720" w:gutter="0"/>
          <w:pgNumType w:fmt="lowerRoman"/>
          <w:cols w:space="720"/>
          <w:docGrid w:linePitch="360"/>
        </w:sectPr>
      </w:pPr>
    </w:p>
    <w:p w:rsidR="00000000" w:rsidRDefault="00C40079">
      <w:pPr>
        <w:pStyle w:val="Level2"/>
        <w:widowControl/>
        <w:numPr>
          <w:ilvl w:val="0"/>
          <w:numId w:val="9"/>
        </w:numPr>
        <w:tabs>
          <w:tab w:val="left" w:pos="720"/>
          <w:tab w:val="left" w:pos="1080"/>
          <w:tab w:val="left" w:pos="1440"/>
          <w:tab w:val="left" w:pos="1800"/>
          <w:tab w:val="left" w:pos="2160"/>
        </w:tabs>
        <w:ind w:left="0" w:firstLine="0"/>
        <w:rPr>
          <w:b/>
        </w:rPr>
        <w:sectPr w:rsidR="00000000">
          <w:footerReference w:type="even" r:id="rId33"/>
          <w:footerReference w:type="default" r:id="rId34"/>
          <w:pgSz w:w="12240" w:h="15840"/>
          <w:pgMar w:top="1440" w:right="1440" w:bottom="1440" w:left="1440" w:header="720" w:footer="720" w:gutter="0"/>
          <w:pgNumType w:start="1"/>
          <w:cols w:space="720"/>
          <w:docGrid w:linePitch="360"/>
        </w:sectPr>
      </w:pPr>
      <w:bookmarkStart w:id="78" w:name="Intro"/>
      <w:bookmarkStart w:id="79" w:name="_Hlt126633570"/>
      <w:bookmarkEnd w:id="79"/>
    </w:p>
    <w:p w:rsidR="00000000" w:rsidRDefault="00C40079">
      <w:pPr>
        <w:pStyle w:val="Level2"/>
        <w:widowControl/>
        <w:numPr>
          <w:ilvl w:val="0"/>
          <w:numId w:val="9"/>
        </w:numPr>
        <w:tabs>
          <w:tab w:val="left" w:pos="720"/>
          <w:tab w:val="left" w:pos="1080"/>
          <w:tab w:val="left" w:pos="1440"/>
          <w:tab w:val="left" w:pos="1800"/>
          <w:tab w:val="left" w:pos="2160"/>
        </w:tabs>
        <w:ind w:left="0" w:firstLine="0"/>
        <w:rPr>
          <w:b/>
        </w:rPr>
      </w:pPr>
      <w:r>
        <w:rPr>
          <w:b/>
        </w:rPr>
        <w:t>Introduction</w:t>
      </w:r>
      <w:bookmarkEnd w:id="78"/>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widowControl/>
        <w:tabs>
          <w:tab w:val="left" w:pos="720"/>
          <w:tab w:val="left" w:pos="1080"/>
          <w:tab w:val="left" w:pos="1440"/>
          <w:tab w:val="left" w:pos="1800"/>
          <w:tab w:val="left" w:pos="2160"/>
        </w:tabs>
      </w:pPr>
      <w:r>
        <w:t xml:space="preserve">The Clean Air Act provides for states to submit revisions to their State Implementation Plans (SIP) whenever states’ programs are modified from the existing SIP. This document proposes </w:t>
      </w:r>
      <w:r>
        <w:t>the following revisions to the existing New Jersey SIP:</w:t>
      </w:r>
      <w:r>
        <w:rPr>
          <w:rStyle w:val="FootnoteReference"/>
          <w:vertAlign w:val="superscript"/>
        </w:rPr>
        <w:footnoteReference w:id="6"/>
      </w:r>
      <w:r>
        <w:t xml:space="preserve"> </w:t>
      </w:r>
    </w:p>
    <w:p w:rsidR="00000000" w:rsidRDefault="00C40079">
      <w:pPr>
        <w:pStyle w:val="Level2"/>
        <w:widowControl/>
        <w:tabs>
          <w:tab w:val="left" w:pos="1080"/>
          <w:tab w:val="left" w:pos="1440"/>
          <w:tab w:val="left" w:pos="1800"/>
          <w:tab w:val="left" w:pos="2160"/>
        </w:tabs>
        <w:ind w:left="360"/>
      </w:pPr>
    </w:p>
    <w:p w:rsidR="00000000" w:rsidRDefault="00C40079">
      <w:pPr>
        <w:pStyle w:val="Level2"/>
        <w:widowControl/>
        <w:numPr>
          <w:ilvl w:val="0"/>
          <w:numId w:val="61"/>
        </w:numPr>
        <w:tabs>
          <w:tab w:val="left" w:pos="1080"/>
          <w:tab w:val="left" w:pos="1440"/>
          <w:tab w:val="left" w:pos="1800"/>
          <w:tab w:val="left" w:pos="2160"/>
        </w:tabs>
      </w:pPr>
      <w:r>
        <w:t>Revised transportation conformity emission budgets for ozone and carbon monoxide for northern New Jersey;</w:t>
      </w:r>
    </w:p>
    <w:p w:rsidR="00000000" w:rsidRDefault="00C40079">
      <w:pPr>
        <w:pStyle w:val="Level2"/>
        <w:widowControl/>
        <w:numPr>
          <w:ilvl w:val="0"/>
          <w:numId w:val="61"/>
        </w:numPr>
        <w:tabs>
          <w:tab w:val="left" w:pos="1080"/>
          <w:tab w:val="left" w:pos="1440"/>
          <w:tab w:val="left" w:pos="1800"/>
          <w:tab w:val="left" w:pos="2160"/>
        </w:tabs>
      </w:pPr>
      <w:r>
        <w:t xml:space="preserve">Revised general conformity budget for McGuire Air Force Base; </w:t>
      </w:r>
    </w:p>
    <w:p w:rsidR="00000000" w:rsidRDefault="00C40079">
      <w:pPr>
        <w:pStyle w:val="Level2"/>
        <w:widowControl/>
        <w:numPr>
          <w:ilvl w:val="0"/>
          <w:numId w:val="61"/>
        </w:numPr>
        <w:tabs>
          <w:tab w:val="left" w:pos="1080"/>
          <w:tab w:val="left" w:pos="1440"/>
          <w:tab w:val="left" w:pos="1800"/>
          <w:tab w:val="left" w:pos="2160"/>
        </w:tabs>
      </w:pPr>
      <w:r>
        <w:t>New transportation conformit</w:t>
      </w:r>
      <w:r>
        <w:t>y budget for fine particulate matter, PM</w:t>
      </w:r>
      <w:r>
        <w:rPr>
          <w:vertAlign w:val="subscript"/>
        </w:rPr>
        <w:t>2.5</w:t>
      </w:r>
      <w:r>
        <w:t>, for northern New Jersey;</w:t>
      </w:r>
    </w:p>
    <w:p w:rsidR="00000000" w:rsidRDefault="00C40079">
      <w:pPr>
        <w:pStyle w:val="Level2"/>
        <w:widowControl/>
        <w:numPr>
          <w:ilvl w:val="0"/>
          <w:numId w:val="61"/>
        </w:numPr>
        <w:tabs>
          <w:tab w:val="left" w:pos="1080"/>
          <w:tab w:val="left" w:pos="1440"/>
          <w:tab w:val="left" w:pos="1800"/>
          <w:tab w:val="left" w:pos="2160"/>
        </w:tabs>
      </w:pPr>
      <w:r>
        <w:t>Limited Maintenance Plan for carbon monoxide for Camden County and the nine not-classified areas;</w:t>
      </w:r>
    </w:p>
    <w:p w:rsidR="00000000" w:rsidRDefault="00C40079">
      <w:pPr>
        <w:pStyle w:val="Level2"/>
        <w:widowControl/>
        <w:numPr>
          <w:ilvl w:val="0"/>
          <w:numId w:val="61"/>
        </w:numPr>
        <w:tabs>
          <w:tab w:val="left" w:pos="1080"/>
          <w:tab w:val="left" w:pos="1440"/>
          <w:tab w:val="left" w:pos="1800"/>
          <w:tab w:val="left" w:pos="2160"/>
        </w:tabs>
      </w:pPr>
      <w:r>
        <w:t>New Jersey’s 2002 Periodic Emission Inventory.</w:t>
      </w:r>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widowControl/>
        <w:tabs>
          <w:tab w:val="left" w:pos="720"/>
          <w:tab w:val="left" w:pos="1080"/>
          <w:tab w:val="left" w:pos="1440"/>
          <w:tab w:val="left" w:pos="1800"/>
          <w:tab w:val="left" w:pos="2160"/>
        </w:tabs>
      </w:pPr>
      <w:r>
        <w:t>The USEPA requires</w:t>
      </w:r>
      <w:r>
        <w:rPr>
          <w:rStyle w:val="FootnoteReference"/>
          <w:vertAlign w:val="superscript"/>
        </w:rPr>
        <w:footnoteReference w:id="7"/>
      </w:r>
      <w:r>
        <w:t xml:space="preserve"> the 2002 Periodic Em</w:t>
      </w:r>
      <w:r>
        <w:t>ission Inventory to be submitted as a SIP revision because it is the foundation for the planning to attain the 8-hour ozone and fine particulate matter health standards, and for the regional haze SIP.</w:t>
      </w:r>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Summaries of the history of New Jersey’s SIPs for carb</w:t>
      </w:r>
      <w:r>
        <w:t>on monoxide and ozone are presented in Appendix A and Appendix B, respectively.</w:t>
      </w:r>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widowControl/>
        <w:numPr>
          <w:ilvl w:val="0"/>
          <w:numId w:val="9"/>
        </w:numPr>
        <w:tabs>
          <w:tab w:val="left" w:pos="720"/>
          <w:tab w:val="left" w:pos="1080"/>
          <w:tab w:val="left" w:pos="1440"/>
          <w:tab w:val="left" w:pos="1800"/>
          <w:tab w:val="left" w:pos="2160"/>
        </w:tabs>
        <w:ind w:left="0" w:firstLine="0"/>
        <w:rPr>
          <w:b/>
        </w:rPr>
      </w:pPr>
      <w:bookmarkStart w:id="80" w:name="Trans_Conf_Em_Budgets"/>
      <w:bookmarkStart w:id="81" w:name="_Hlt126633574"/>
      <w:bookmarkEnd w:id="81"/>
      <w:r>
        <w:rPr>
          <w:b/>
        </w:rPr>
        <w:t>Conformity Emission Budgets</w:t>
      </w:r>
      <w:bookmarkEnd w:id="80"/>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widowControl/>
        <w:tabs>
          <w:tab w:val="left" w:pos="720"/>
          <w:tab w:val="left" w:pos="1080"/>
          <w:tab w:val="left" w:pos="1440"/>
          <w:tab w:val="left" w:pos="1800"/>
          <w:tab w:val="left" w:pos="2160"/>
        </w:tabs>
      </w:pPr>
      <w:r>
        <w:t>New Jersey is proposing updating the existing transportation conformity VOC, NO</w:t>
      </w:r>
      <w:r>
        <w:rPr>
          <w:vertAlign w:val="subscript"/>
        </w:rPr>
        <w:t>x</w:t>
      </w:r>
      <w:r>
        <w:t xml:space="preserve"> and CO emission budgets and proposing early transportation confor</w:t>
      </w:r>
      <w:r>
        <w:t>mity emission budgets for direct PM</w:t>
      </w:r>
      <w:r>
        <w:rPr>
          <w:vertAlign w:val="subscript"/>
        </w:rPr>
        <w:t>2.5</w:t>
      </w:r>
      <w:r>
        <w:t xml:space="preserve"> and annual NO</w:t>
      </w:r>
      <w:r>
        <w:rPr>
          <w:vertAlign w:val="subscript"/>
        </w:rPr>
        <w:t>x</w:t>
      </w:r>
      <w:r>
        <w:t xml:space="preserve"> (a PM</w:t>
      </w:r>
      <w:r>
        <w:rPr>
          <w:vertAlign w:val="subscript"/>
        </w:rPr>
        <w:t>2.5</w:t>
      </w:r>
      <w:r>
        <w:t xml:space="preserve"> precursor) for the New Jersey portion of the New York/New Jersey/Long Island/Connecticut PM</w:t>
      </w:r>
      <w:r>
        <w:rPr>
          <w:vertAlign w:val="subscript"/>
        </w:rPr>
        <w:t>2.5</w:t>
      </w:r>
      <w:r>
        <w:t xml:space="preserve"> nonattainment Area. New Jersey is also proposing updates to the existing general conformity budget</w:t>
      </w:r>
      <w:r>
        <w:t>s for McGuire Air Force Base.</w:t>
      </w:r>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widowControl/>
        <w:tabs>
          <w:tab w:val="left" w:pos="720"/>
          <w:tab w:val="left" w:pos="1080"/>
          <w:tab w:val="left" w:pos="1440"/>
          <w:tab w:val="left" w:pos="1800"/>
          <w:tab w:val="left" w:pos="2160"/>
        </w:tabs>
      </w:pPr>
      <w:r>
        <w:t>The updates to the transportation conformity emission budgets for VOCs and NO</w:t>
      </w:r>
      <w:r>
        <w:rPr>
          <w:vertAlign w:val="subscript"/>
        </w:rPr>
        <w:t>x</w:t>
      </w:r>
      <w:r>
        <w:t xml:space="preserve"> are being proposed to reflect the most recent predictions of vehicle miles traveled, vehicle age distributions, and the latest allocation of vehic</w:t>
      </w:r>
      <w:r>
        <w:t>les miles traveled to the various vehicle types.  Updates to the transportation conformity emission budgets for carbon monoxide are being proposed to include a safety margin.  These proposed updated budgets do not affect any of the planned or implemented c</w:t>
      </w:r>
      <w:r>
        <w:t>ontrol measures for carbon monoxide, VOCs, or NO</w:t>
      </w:r>
      <w:r>
        <w:rPr>
          <w:vertAlign w:val="subscript"/>
        </w:rPr>
        <w:t>x</w:t>
      </w:r>
      <w:r>
        <w:t>.  In addition, the updated budgets do not result in backsliding on New Jersey’s plans to address the 1-hour ozone NAAQS and maintain attainment of the carbon monoxide standard.</w:t>
      </w:r>
    </w:p>
    <w:p w:rsidR="00000000" w:rsidRDefault="00C40079">
      <w:pPr>
        <w:pStyle w:val="Level2"/>
        <w:widowControl/>
        <w:tabs>
          <w:tab w:val="left" w:pos="1080"/>
          <w:tab w:val="left" w:pos="1440"/>
          <w:tab w:val="left" w:pos="1800"/>
          <w:tab w:val="left" w:pos="2160"/>
        </w:tabs>
      </w:pPr>
    </w:p>
    <w:p w:rsidR="00000000" w:rsidRDefault="00C40079">
      <w:pPr>
        <w:pStyle w:val="Level2"/>
        <w:widowControl/>
        <w:tabs>
          <w:tab w:val="left" w:pos="1080"/>
          <w:tab w:val="left" w:pos="1440"/>
          <w:tab w:val="left" w:pos="1800"/>
          <w:tab w:val="left" w:pos="2160"/>
        </w:tabs>
      </w:pPr>
      <w:r>
        <w:t>Early budgets to address the</w:t>
      </w:r>
      <w:r>
        <w:t xml:space="preserve"> PM</w:t>
      </w:r>
      <w:r>
        <w:rPr>
          <w:vertAlign w:val="subscript"/>
        </w:rPr>
        <w:t>2.5</w:t>
      </w:r>
      <w:r>
        <w:t xml:space="preserve"> NAAQS are provided for direct PM</w:t>
      </w:r>
      <w:r>
        <w:rPr>
          <w:vertAlign w:val="subscript"/>
        </w:rPr>
        <w:t>2.5</w:t>
      </w:r>
      <w:r>
        <w:t xml:space="preserve"> and annual NO</w:t>
      </w:r>
      <w:r>
        <w:rPr>
          <w:vertAlign w:val="subscript"/>
        </w:rPr>
        <w:t>x</w:t>
      </w:r>
      <w:r>
        <w:t xml:space="preserve"> for the New Jersey portion of the New York City/Northern New Jersey/Long Island/Connecticut nonattainment area. The attainment demonstration SIP for the PM</w:t>
      </w:r>
      <w:r>
        <w:rPr>
          <w:vertAlign w:val="subscript"/>
        </w:rPr>
        <w:t>2.5</w:t>
      </w:r>
      <w:r>
        <w:t xml:space="preserve"> NAAQS is not due until April 2008.  Onc</w:t>
      </w:r>
      <w:r>
        <w:t>e found to be adequate, these early PM</w:t>
      </w:r>
      <w:r>
        <w:rPr>
          <w:vertAlign w:val="subscript"/>
        </w:rPr>
        <w:t>2.5</w:t>
      </w:r>
      <w:r>
        <w:t xml:space="preserve"> budgets must be used by the </w:t>
      </w:r>
      <w:r>
        <w:lastRenderedPageBreak/>
        <w:t>Metropolitan Planning Organizations during the interim period prior to the establishment of PM</w:t>
      </w:r>
      <w:r>
        <w:rPr>
          <w:vertAlign w:val="subscript"/>
        </w:rPr>
        <w:t>2.5</w:t>
      </w:r>
      <w:r>
        <w:t xml:space="preserve"> budgets with the PM</w:t>
      </w:r>
      <w:r>
        <w:rPr>
          <w:vertAlign w:val="subscript"/>
        </w:rPr>
        <w:t>2.5</w:t>
      </w:r>
      <w:r>
        <w:t xml:space="preserve"> attainment demonstration SIP. The USEPA is allowing areas to esta</w:t>
      </w:r>
      <w:r>
        <w:t>blish early budgets as an alternative to other interim conformity tests prior to submittal of the PM</w:t>
      </w:r>
      <w:r>
        <w:rPr>
          <w:vertAlign w:val="subscript"/>
        </w:rPr>
        <w:t>2.5</w:t>
      </w:r>
      <w:r>
        <w:t xml:space="preserve"> attainment demonstration in April 2008.  </w:t>
      </w:r>
    </w:p>
    <w:p w:rsidR="00000000" w:rsidRDefault="00C40079">
      <w:pPr>
        <w:pStyle w:val="Level2"/>
        <w:widowControl/>
        <w:tabs>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New Jersey is proposing changes in the general conformity budget for McGuire Air Force Base based on projecte</w:t>
      </w:r>
      <w:r>
        <w:t>d future increases NO</w:t>
      </w:r>
      <w:r>
        <w:rPr>
          <w:vertAlign w:val="subscript"/>
        </w:rPr>
        <w:t>x</w:t>
      </w:r>
      <w:r>
        <w:t xml:space="preserve"> budget needs. The current and projected VOC emissions at McGuire Air Force Base are well below budget levels.  Therefore, this request for an increase in the NO</w:t>
      </w:r>
      <w:r>
        <w:rPr>
          <w:vertAlign w:val="subscript"/>
        </w:rPr>
        <w:t>x</w:t>
      </w:r>
      <w:r>
        <w:t xml:space="preserve"> budget will be offset by a decrease in their VOC budget. </w:t>
      </w: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67"/>
        </w:numPr>
        <w:tabs>
          <w:tab w:val="left" w:pos="720"/>
          <w:tab w:val="left" w:pos="1440"/>
          <w:tab w:val="left" w:pos="1800"/>
          <w:tab w:val="left" w:pos="2160"/>
        </w:tabs>
        <w:rPr>
          <w:b/>
        </w:rPr>
      </w:pPr>
      <w:bookmarkStart w:id="82" w:name="Trans_Conf_Em_Budgets_Background"/>
      <w:bookmarkStart w:id="83" w:name="_Hlt126641175"/>
      <w:bookmarkEnd w:id="83"/>
      <w:r>
        <w:rPr>
          <w:b/>
        </w:rPr>
        <w:t>Ba</w:t>
      </w:r>
      <w:bookmarkStart w:id="84" w:name="_Hlt126633610"/>
      <w:bookmarkEnd w:id="84"/>
      <w:r>
        <w:rPr>
          <w:b/>
        </w:rPr>
        <w:t>ckground</w:t>
      </w:r>
      <w:bookmarkStart w:id="85" w:name="_Hlt126633798"/>
      <w:bookmarkEnd w:id="82"/>
    </w:p>
    <w:bookmarkEnd w:id="85"/>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42 U.S.C. §7506 states “no department, agency, or instrumentality of the federal government shall engage in, support in any way, or provide financial assistance for, or approve, any activity which does not conform to an approved or promulgated state implem</w:t>
      </w:r>
      <w:r>
        <w:t>entation plan.  No Metropolitan Planning Organization designated under section 134 of Title 23, shall give its approval to any project, program, or plan which does not conform to an approved or promulgated state implementation plan.”  These requirements ar</w:t>
      </w:r>
      <w:r>
        <w:t>e interpreted by the USEPA to apply to maintenance as well as nonattainment areas.</w:t>
      </w:r>
      <w:r>
        <w:rPr>
          <w:rStyle w:val="FootnoteReference"/>
          <w:sz w:val="20"/>
          <w:vertAlign w:val="superscript"/>
        </w:rPr>
        <w:footnoteReference w:id="8"/>
      </w:r>
      <w:r>
        <w:t xml:space="preserve">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“Conformity to an implementation plan” means conforming to the implementation plan’s purpose of eliminating or reducing the severity and number of violations of the healt</w:t>
      </w:r>
      <w:r>
        <w:t>h-based NAAQS and achieving expeditious attainment of such standards.  In order for a proposed transportation activity to conform to the SIP, the Clean Air Act</w:t>
      </w:r>
      <w:r>
        <w:rPr>
          <w:rStyle w:val="FootnoteReference"/>
          <w:vertAlign w:val="superscript"/>
        </w:rPr>
        <w:footnoteReference w:id="9"/>
      </w:r>
      <w:r>
        <w:rPr>
          <w:vertAlign w:val="superscript"/>
        </w:rPr>
        <w:t xml:space="preserve"> </w:t>
      </w:r>
      <w:r>
        <w:t>specifies that such activity will not:</w:t>
      </w: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60"/>
        </w:numPr>
        <w:tabs>
          <w:tab w:val="left" w:pos="720"/>
          <w:tab w:val="left" w:pos="1080"/>
          <w:tab w:val="left" w:pos="1440"/>
          <w:tab w:val="left" w:pos="1800"/>
          <w:tab w:val="left" w:pos="2160"/>
        </w:tabs>
        <w:ind w:left="720"/>
      </w:pPr>
      <w:r>
        <w:t>Cause or contribute to any new violation of any standar</w:t>
      </w:r>
      <w:r>
        <w:t>d in any area;</w:t>
      </w:r>
    </w:p>
    <w:p w:rsidR="00000000" w:rsidRDefault="00C40079">
      <w:pPr>
        <w:pStyle w:val="Level2"/>
        <w:numPr>
          <w:ilvl w:val="0"/>
          <w:numId w:val="60"/>
        </w:numPr>
        <w:tabs>
          <w:tab w:val="left" w:pos="720"/>
          <w:tab w:val="left" w:pos="1080"/>
          <w:tab w:val="left" w:pos="1440"/>
          <w:tab w:val="left" w:pos="1800"/>
          <w:tab w:val="left" w:pos="2160"/>
        </w:tabs>
        <w:ind w:left="720"/>
      </w:pPr>
      <w:r>
        <w:t>Increase the frequency or severity of any existing violation of any standard in any area; or,</w:t>
      </w:r>
    </w:p>
    <w:p w:rsidR="00000000" w:rsidRDefault="00C40079">
      <w:pPr>
        <w:pStyle w:val="Level2"/>
        <w:numPr>
          <w:ilvl w:val="0"/>
          <w:numId w:val="60"/>
        </w:numPr>
        <w:tabs>
          <w:tab w:val="left" w:pos="720"/>
          <w:tab w:val="left" w:pos="1080"/>
          <w:tab w:val="left" w:pos="1440"/>
          <w:tab w:val="left" w:pos="1800"/>
          <w:tab w:val="left" w:pos="2160"/>
        </w:tabs>
        <w:ind w:left="720"/>
      </w:pPr>
      <w:r>
        <w:t xml:space="preserve">Delay timely attainment of any standard or any required interim emission reductions or any other milestones in any area. </w:t>
      </w:r>
    </w:p>
    <w:p w:rsidR="00000000" w:rsidRDefault="00C40079">
      <w:pPr>
        <w:pStyle w:val="Level2"/>
        <w:tabs>
          <w:tab w:val="left" w:pos="720"/>
          <w:tab w:val="left" w:pos="1080"/>
          <w:tab w:val="left" w:pos="1440"/>
          <w:tab w:val="left" w:pos="1800"/>
          <w:tab w:val="left" w:pos="2160"/>
        </w:tabs>
        <w:ind w:left="360"/>
      </w:pPr>
    </w:p>
    <w:p w:rsidR="00000000" w:rsidRDefault="00C40079">
      <w:pPr>
        <w:pStyle w:val="Level2"/>
        <w:tabs>
          <w:tab w:val="left" w:pos="720"/>
          <w:tab w:val="left" w:pos="1080"/>
          <w:tab w:val="left" w:pos="1440"/>
          <w:tab w:val="left" w:pos="1800"/>
          <w:tab w:val="left" w:pos="2160"/>
        </w:tabs>
      </w:pPr>
      <w:r>
        <w:t>The Federal Transportati</w:t>
      </w:r>
      <w:r>
        <w:t>on Conformity Rule (40 CFR 93.100-160) provides the process by which the air quality impact of transportation plans, transportation improvement programs, and projects will be analyzed.  The agency preparing plans (twenty or more years), transportation impr</w:t>
      </w:r>
      <w:r>
        <w:t>ovement programs (at least four years), or approving a transportation project must analyze the emissions expected from such a proposal in accordance with the Transportation Conformity Rule.</w:t>
      </w:r>
      <w:r>
        <w:rPr>
          <w:rStyle w:val="FootnoteReference"/>
          <w:sz w:val="20"/>
          <w:vertAlign w:val="superscript"/>
        </w:rPr>
        <w:footnoteReference w:id="10"/>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rPr>
          <w:b/>
        </w:rPr>
      </w:pPr>
      <w:r>
        <w:t>For the purposes of transportation conformity, the emission budg</w:t>
      </w:r>
      <w:r>
        <w:t xml:space="preserve">et is that portion of the total </w:t>
      </w:r>
      <w:r>
        <w:lastRenderedPageBreak/>
        <w:t>allowable emissions in the SIP emission inventory that is allocated to onroad vehicles.  The projected emissions from a plan, transportation improvement program, or project, estimated in accordance with the Transportation Co</w:t>
      </w:r>
      <w:r>
        <w:t>nformity Rule, may not exceed the motor vehicle emissions budget contained in the appropriate SIP.  Emissions in years for which no motor vehicle emissions budgets are specifically established must be less than or equal to the motor vehicle emissions budge</w:t>
      </w:r>
      <w:r>
        <w:t>t established for the most recent prior year.</w:t>
      </w:r>
    </w:p>
    <w:p w:rsidR="00000000" w:rsidRDefault="00C40079">
      <w:pPr>
        <w:pStyle w:val="Level2"/>
        <w:tabs>
          <w:tab w:val="left" w:pos="720"/>
          <w:tab w:val="left" w:pos="1080"/>
          <w:tab w:val="left" w:pos="1440"/>
          <w:tab w:val="left" w:pos="1800"/>
          <w:tab w:val="left" w:pos="2160"/>
        </w:tabs>
        <w:rPr>
          <w:b/>
        </w:rPr>
      </w:pPr>
    </w:p>
    <w:p w:rsidR="00000000" w:rsidRDefault="00C40079">
      <w:pPr>
        <w:pStyle w:val="Level2"/>
        <w:tabs>
          <w:tab w:val="left" w:pos="720"/>
          <w:tab w:val="left" w:pos="1080"/>
          <w:tab w:val="left" w:pos="1440"/>
          <w:tab w:val="left" w:pos="1800"/>
          <w:tab w:val="left" w:pos="2160"/>
        </w:tabs>
        <w:rPr>
          <w:b/>
        </w:rPr>
      </w:pPr>
    </w:p>
    <w:p w:rsidR="00000000" w:rsidRDefault="00C40079">
      <w:pPr>
        <w:pStyle w:val="Level2"/>
        <w:widowControl/>
        <w:tabs>
          <w:tab w:val="left" w:pos="1080"/>
          <w:tab w:val="left" w:pos="1440"/>
          <w:tab w:val="left" w:pos="1800"/>
          <w:tab w:val="left" w:pos="2160"/>
        </w:tabs>
        <w:ind w:left="720"/>
        <w:rPr>
          <w:b/>
        </w:rPr>
      </w:pPr>
      <w:bookmarkStart w:id="86" w:name="Revised_Budgets"/>
      <w:bookmarkStart w:id="87" w:name="_Hlt126633578"/>
      <w:bookmarkEnd w:id="87"/>
      <w:r>
        <w:rPr>
          <w:b/>
        </w:rPr>
        <w:t>B.</w:t>
      </w:r>
      <w:r>
        <w:rPr>
          <w:b/>
        </w:rPr>
        <w:tab/>
        <w:t>Revised Budgets</w:t>
      </w:r>
      <w:bookmarkEnd w:id="86"/>
    </w:p>
    <w:p w:rsidR="00000000" w:rsidRDefault="00C40079">
      <w:pPr>
        <w:pStyle w:val="Level2"/>
        <w:widowControl/>
        <w:tabs>
          <w:tab w:val="left" w:pos="720"/>
          <w:tab w:val="left" w:pos="1080"/>
          <w:tab w:val="left" w:pos="1440"/>
          <w:tab w:val="left" w:pos="1800"/>
          <w:tab w:val="left" w:pos="2160"/>
        </w:tabs>
        <w:rPr>
          <w:b/>
        </w:rPr>
      </w:pPr>
    </w:p>
    <w:p w:rsidR="00000000" w:rsidRDefault="00C40079">
      <w:pPr>
        <w:pStyle w:val="Level2"/>
        <w:tabs>
          <w:tab w:val="left" w:pos="720"/>
          <w:tab w:val="left" w:pos="1080"/>
          <w:tab w:val="left" w:pos="1440"/>
          <w:tab w:val="left" w:pos="1800"/>
          <w:tab w:val="left" w:pos="2160"/>
        </w:tabs>
      </w:pPr>
      <w:r>
        <w:t>This section discusses the proposed updates to the existing transportation conformity budgets for certain areas within the North Jersey Transportation Planning Authority and the proposed u</w:t>
      </w:r>
      <w:r>
        <w:t>pdates to the existing general conformity budgets for McGuire Air Force Base.</w:t>
      </w:r>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widowControl/>
        <w:numPr>
          <w:ilvl w:val="0"/>
          <w:numId w:val="13"/>
        </w:numPr>
        <w:tabs>
          <w:tab w:val="left" w:pos="720"/>
          <w:tab w:val="left" w:pos="1080"/>
          <w:tab w:val="left" w:pos="1440"/>
          <w:tab w:val="left" w:pos="1800"/>
          <w:tab w:val="left" w:pos="2160"/>
        </w:tabs>
        <w:ind w:left="2160" w:hanging="1080"/>
        <w:rPr>
          <w:b/>
        </w:rPr>
      </w:pPr>
      <w:bookmarkStart w:id="88" w:name="Ozone_and_CO_Budget"/>
      <w:bookmarkStart w:id="89" w:name="_Hlt126633808"/>
      <w:bookmarkEnd w:id="89"/>
      <w:r>
        <w:rPr>
          <w:b/>
        </w:rPr>
        <w:t>1-Hour Ozone and a Carbon Monoxide Budgets for Northern New Jersey</w:t>
      </w:r>
      <w:bookmarkEnd w:id="88"/>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Metropolitan Planning Organizations are required to use the latest planning assumptions pursuant to the U</w:t>
      </w:r>
      <w:r>
        <w:t xml:space="preserve">SEPA Transportation Conformity Rule (40 CFR 93.100-160).  There are three Metropolitan Planning Organizations in New Jersey, Figure I.  The proposed budgets described in this section are for the North Jersey Transportation Planning Authority.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propose</w:t>
      </w:r>
      <w:r>
        <w:t>d transportation conformity emission budgets for VOCs and NO</w:t>
      </w:r>
      <w:r>
        <w:rPr>
          <w:vertAlign w:val="subscript"/>
        </w:rPr>
        <w:t>x</w:t>
      </w:r>
      <w:r>
        <w:t xml:space="preserve"> are updated to reflect the most recent Highway Performance Monitoring System reconciliation of vehicle miles traveled updated (2005), vehicle age distributions, and the latest allocation of vehi</w:t>
      </w:r>
      <w:r>
        <w:t>cle miles traveled to the various vehicle types.  The proposed transportation conformity emission budgets for carbon monoxide are updated to include a safety margin and are not updated to include the latest planning assumptions.  The proposed budgets do no</w:t>
      </w:r>
      <w:r>
        <w:t>t affect any of the planned or implemented control measures for carbon monoxide, VOCs, and NO</w:t>
      </w:r>
      <w:r>
        <w:rPr>
          <w:vertAlign w:val="subscript"/>
        </w:rPr>
        <w:t>x</w:t>
      </w:r>
      <w:r>
        <w:t xml:space="preserve">.  In addition, the updated budgets do not indicate a need for any additional control measures for New Jersey to maintain attainment of the carbon monoxide NAAQS </w:t>
      </w:r>
      <w:r>
        <w:t>or reach attainment of the 1-hour ozone NAAQS.  Please note: The attainment demonstration SIP for the 8-hour ozone NAAQS is not due until June 2007.  Prior to approval of a SIP for the 8-hour ozone NAAQS, compliance with the 1-hour ozone NAAQS SIP continue</w:t>
      </w:r>
      <w:r>
        <w:t>s to be required with regard to Transportation Conformity.</w:t>
      </w:r>
      <w:r>
        <w:rPr>
          <w:rStyle w:val="FootnoteReference"/>
          <w:vertAlign w:val="superscript"/>
        </w:rPr>
        <w:footnoteReference w:id="11"/>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rPr>
          <w:b/>
        </w:rPr>
      </w:pPr>
      <w:r>
        <w:t>The updated transportation conformity emission budgets are provided in Table I.  Table II contains a comparison of the updated transportation conformity emission budgets with prior budgets. The u</w:t>
      </w:r>
      <w:r>
        <w:t xml:space="preserve">pdated budgets supersede the prior budgets and should be used for future transportation conformity determinations by the North Jersey Transportation Planning Authority once approved by the USEPA. </w:t>
      </w:r>
      <w:r>
        <w:br w:type="page"/>
      </w:r>
    </w:p>
    <w:p w:rsidR="00000000" w:rsidRDefault="00C40079">
      <w:pPr>
        <w:pStyle w:val="Level2"/>
        <w:tabs>
          <w:tab w:val="left" w:pos="720"/>
          <w:tab w:val="left" w:pos="1080"/>
          <w:tab w:val="left" w:pos="1440"/>
          <w:tab w:val="left" w:pos="1800"/>
          <w:tab w:val="left" w:pos="2160"/>
        </w:tabs>
        <w:rPr>
          <w:b/>
        </w:rPr>
      </w:pPr>
    </w:p>
    <w:p w:rsidR="00000000" w:rsidRDefault="00C40079">
      <w:pPr>
        <w:pStyle w:val="Level2"/>
        <w:tabs>
          <w:tab w:val="left" w:pos="720"/>
          <w:tab w:val="left" w:pos="1080"/>
          <w:tab w:val="left" w:pos="1440"/>
          <w:tab w:val="left" w:pos="1800"/>
          <w:tab w:val="left" w:pos="2160"/>
        </w:tabs>
        <w:jc w:val="center"/>
        <w:rPr>
          <w:b/>
        </w:rPr>
      </w:pPr>
      <w:bookmarkStart w:id="90" w:name="Figure_I"/>
      <w:bookmarkStart w:id="91" w:name="_Hlt126642146"/>
      <w:bookmarkEnd w:id="91"/>
      <w:r>
        <w:rPr>
          <w:b/>
        </w:rPr>
        <w:t>Figure I</w:t>
      </w:r>
      <w:bookmarkEnd w:id="90"/>
    </w:p>
    <w:p w:rsidR="00000000" w:rsidRDefault="00C40079">
      <w:pPr>
        <w:pStyle w:val="Level2"/>
        <w:tabs>
          <w:tab w:val="left" w:pos="720"/>
          <w:tab w:val="left" w:pos="1080"/>
          <w:tab w:val="left" w:pos="1440"/>
          <w:tab w:val="left" w:pos="1800"/>
          <w:tab w:val="left" w:pos="2160"/>
        </w:tabs>
        <w:jc w:val="center"/>
        <w:rPr>
          <w:b/>
        </w:rPr>
      </w:pPr>
    </w:p>
    <w:p w:rsidR="00000000" w:rsidRDefault="00C40079">
      <w:pPr>
        <w:pStyle w:val="Level2"/>
        <w:tabs>
          <w:tab w:val="left" w:pos="720"/>
          <w:tab w:val="left" w:pos="1080"/>
          <w:tab w:val="left" w:pos="1440"/>
          <w:tab w:val="left" w:pos="1800"/>
          <w:tab w:val="left" w:pos="2160"/>
        </w:tabs>
        <w:jc w:val="center"/>
        <w:rPr>
          <w:b/>
        </w:rPr>
      </w:pPr>
      <w:r>
        <w:rPr>
          <w:b/>
        </w:rPr>
        <w:t>Metropolitan Planning Organizations in New Jers</w:t>
      </w:r>
      <w:r>
        <w:rPr>
          <w:b/>
        </w:rPr>
        <w:t>ey</w:t>
      </w:r>
    </w:p>
    <w:p w:rsidR="00000000" w:rsidRDefault="00C40079">
      <w:pPr>
        <w:pStyle w:val="Level2"/>
        <w:tabs>
          <w:tab w:val="left" w:pos="720"/>
          <w:tab w:val="left" w:pos="1080"/>
          <w:tab w:val="left" w:pos="1440"/>
          <w:tab w:val="left" w:pos="1800"/>
          <w:tab w:val="left" w:pos="2160"/>
        </w:tabs>
        <w:jc w:val="center"/>
      </w:pPr>
      <w:r>
        <w:rPr>
          <w:noProof/>
        </w:rPr>
        <w:object w:dxaOrig="0" w:dyaOrig="0">
          <v:shape id="_x0000_s1027" type="#_x0000_t75" style="position:absolute;left:0;text-align:left;margin-left:21.15pt;margin-top:27pt;width:425.7pt;height:511.2pt;z-index:1;visibility:visible;mso-wrap-edited:f;mso-position-horizontal:absolute;mso-position-horizontal-relative:text;mso-position-vertical:absolute;mso-position-vertical-relative:text" o:allowincell="f">
            <v:imagedata r:id="rId35" o:title=""/>
            <w10:wrap type="topAndBottom"/>
          </v:shape>
          <o:OLEObject Type="Embed" ProgID="Word.Picture.8" ShapeID="_x0000_s1027" DrawAspect="Content" ObjectID="_1667111059" r:id="rId36"/>
        </w:object>
      </w:r>
    </w:p>
    <w:p w:rsidR="00000000" w:rsidRDefault="00C40079">
      <w:pPr>
        <w:pStyle w:val="Level2"/>
        <w:widowControl/>
        <w:tabs>
          <w:tab w:val="left" w:pos="720"/>
          <w:tab w:val="left" w:pos="1080"/>
          <w:tab w:val="left" w:pos="1440"/>
          <w:tab w:val="left" w:pos="1800"/>
          <w:tab w:val="left" w:pos="2160"/>
        </w:tabs>
        <w:jc w:val="center"/>
        <w:rPr>
          <w:b/>
        </w:rPr>
      </w:pPr>
      <w:r>
        <w:br w:type="page"/>
      </w:r>
      <w:bookmarkStart w:id="92" w:name="Table_I"/>
      <w:bookmarkStart w:id="93" w:name="_Hlt126641848"/>
      <w:bookmarkEnd w:id="93"/>
      <w:r>
        <w:rPr>
          <w:b/>
        </w:rPr>
        <w:lastRenderedPageBreak/>
        <w:t>Table I</w:t>
      </w:r>
      <w:bookmarkEnd w:id="92"/>
    </w:p>
    <w:p w:rsidR="00000000" w:rsidRDefault="00C40079">
      <w:pPr>
        <w:pStyle w:val="Level2"/>
        <w:tabs>
          <w:tab w:val="left" w:pos="720"/>
          <w:tab w:val="left" w:pos="1080"/>
          <w:tab w:val="left" w:pos="1440"/>
          <w:tab w:val="left" w:pos="1800"/>
          <w:tab w:val="left" w:pos="2160"/>
        </w:tabs>
        <w:jc w:val="center"/>
        <w:rPr>
          <w:b/>
        </w:rPr>
      </w:pPr>
      <w:r>
        <w:rPr>
          <w:b/>
        </w:rPr>
        <w:t>Proposed Updated Transportation Conformity Emission Budgets</w:t>
      </w:r>
    </w:p>
    <w:p w:rsidR="00000000" w:rsidRDefault="00C40079">
      <w:pPr>
        <w:pStyle w:val="Level2"/>
        <w:widowControl/>
        <w:tabs>
          <w:tab w:val="left" w:pos="720"/>
          <w:tab w:val="left" w:pos="1080"/>
          <w:tab w:val="left" w:pos="1440"/>
          <w:tab w:val="left" w:pos="1800"/>
          <w:tab w:val="left" w:pos="2160"/>
        </w:tabs>
      </w:pPr>
    </w:p>
    <w:tbl>
      <w:tblPr>
        <w:tblW w:w="0" w:type="auto"/>
        <w:tblInd w:w="-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00" w:firstRow="0" w:lastRow="0" w:firstColumn="0" w:lastColumn="0" w:noHBand="0" w:noVBand="0"/>
      </w:tblPr>
      <w:tblGrid>
        <w:gridCol w:w="2970"/>
        <w:gridCol w:w="1080"/>
        <w:gridCol w:w="900"/>
        <w:gridCol w:w="900"/>
        <w:gridCol w:w="1260"/>
        <w:gridCol w:w="1080"/>
        <w:gridCol w:w="1260"/>
        <w:gridCol w:w="1170"/>
      </w:tblGrid>
      <w:tr w:rsidR="00000000">
        <w:tblPrEx>
          <w:tblCellMar>
            <w:top w:w="0" w:type="dxa"/>
            <w:bottom w:w="0" w:type="dxa"/>
          </w:tblCellMar>
        </w:tblPrEx>
        <w:trPr>
          <w:cantSplit/>
          <w:trHeight w:val="486"/>
        </w:trPr>
        <w:tc>
          <w:tcPr>
            <w:tcW w:w="2970" w:type="dxa"/>
            <w:vMerge w:val="restart"/>
            <w:tcBorders>
              <w:top w:val="double" w:sz="4" w:space="0" w:color="auto"/>
              <w:left w:val="double" w:sz="4" w:space="0" w:color="auto"/>
              <w:bottom w:val="double" w:sz="4" w:space="0" w:color="auto"/>
              <w:right w:val="double" w:sz="4" w:space="0" w:color="auto"/>
            </w:tcBorders>
            <w:shd w:val="pct20" w:color="auto" w:fill="FFFFFF"/>
            <w:vAlign w:val="center"/>
          </w:tcPr>
          <w:p w:rsidR="00000000" w:rsidRDefault="00C40079">
            <w:pPr>
              <w:tabs>
                <w:tab w:val="left" w:pos="360"/>
                <w:tab w:val="left" w:pos="720"/>
                <w:tab w:val="left" w:pos="1080"/>
                <w:tab w:val="left" w:pos="1440"/>
                <w:tab w:val="left" w:pos="1800"/>
                <w:tab w:val="left" w:pos="2160"/>
              </w:tabs>
              <w:jc w:val="center"/>
              <w:rPr>
                <w:b/>
                <w:sz w:val="24"/>
              </w:rPr>
            </w:pPr>
            <w:r>
              <w:rPr>
                <w:b/>
                <w:sz w:val="24"/>
              </w:rPr>
              <w:t>Transportation</w:t>
            </w:r>
          </w:p>
          <w:p w:rsidR="00000000" w:rsidRDefault="00C40079">
            <w:pPr>
              <w:tabs>
                <w:tab w:val="left" w:pos="360"/>
                <w:tab w:val="left" w:pos="720"/>
                <w:tab w:val="left" w:pos="1080"/>
                <w:tab w:val="left" w:pos="1440"/>
                <w:tab w:val="left" w:pos="1800"/>
                <w:tab w:val="left" w:pos="2160"/>
              </w:tabs>
              <w:jc w:val="center"/>
              <w:rPr>
                <w:b/>
                <w:sz w:val="24"/>
              </w:rPr>
            </w:pPr>
            <w:r>
              <w:rPr>
                <w:b/>
                <w:sz w:val="24"/>
              </w:rPr>
              <w:t>Planning Area</w:t>
            </w:r>
          </w:p>
        </w:tc>
        <w:tc>
          <w:tcPr>
            <w:tcW w:w="2880" w:type="dxa"/>
            <w:gridSpan w:val="3"/>
            <w:tcBorders>
              <w:top w:val="double" w:sz="4" w:space="0" w:color="auto"/>
              <w:left w:val="nil"/>
              <w:bottom w:val="nil"/>
              <w:right w:val="double" w:sz="4" w:space="0" w:color="auto"/>
            </w:tcBorders>
            <w:shd w:val="pct20" w:color="auto" w:fill="FFFFFF"/>
          </w:tcPr>
          <w:p w:rsidR="00000000" w:rsidRDefault="00C40079">
            <w:pPr>
              <w:tabs>
                <w:tab w:val="left" w:pos="360"/>
                <w:tab w:val="left" w:pos="720"/>
                <w:tab w:val="left" w:pos="1080"/>
                <w:tab w:val="left" w:pos="1440"/>
                <w:tab w:val="left" w:pos="1800"/>
                <w:tab w:val="left" w:pos="2160"/>
              </w:tabs>
              <w:jc w:val="center"/>
              <w:rPr>
                <w:b/>
                <w:sz w:val="24"/>
              </w:rPr>
            </w:pPr>
            <w:r>
              <w:rPr>
                <w:b/>
                <w:sz w:val="24"/>
              </w:rPr>
              <w:t>Carbon Monoxide  Emissions</w:t>
            </w:r>
            <w:r>
              <w:rPr>
                <w:b/>
                <w:sz w:val="24"/>
                <w:vertAlign w:val="superscript"/>
              </w:rPr>
              <w:t>(1)</w:t>
            </w:r>
          </w:p>
          <w:p w:rsidR="00000000" w:rsidRDefault="00C40079">
            <w:pPr>
              <w:tabs>
                <w:tab w:val="left" w:pos="360"/>
                <w:tab w:val="left" w:pos="720"/>
                <w:tab w:val="left" w:pos="1080"/>
                <w:tab w:val="left" w:pos="1440"/>
                <w:tab w:val="left" w:pos="1800"/>
                <w:tab w:val="left" w:pos="2160"/>
              </w:tabs>
              <w:jc w:val="center"/>
              <w:rPr>
                <w:b/>
                <w:sz w:val="24"/>
              </w:rPr>
            </w:pPr>
            <w:r>
              <w:rPr>
                <w:b/>
                <w:sz w:val="24"/>
              </w:rPr>
              <w:t>(tons per winter day)</w:t>
            </w:r>
          </w:p>
        </w:tc>
        <w:tc>
          <w:tcPr>
            <w:tcW w:w="2340" w:type="dxa"/>
            <w:gridSpan w:val="2"/>
            <w:tcBorders>
              <w:top w:val="double" w:sz="4" w:space="0" w:color="auto"/>
              <w:left w:val="nil"/>
              <w:bottom w:val="nil"/>
              <w:right w:val="double" w:sz="4" w:space="0" w:color="auto"/>
            </w:tcBorders>
            <w:shd w:val="pct20" w:color="auto" w:fill="FFFFFF"/>
          </w:tcPr>
          <w:p w:rsidR="00000000" w:rsidRDefault="00C40079">
            <w:pPr>
              <w:tabs>
                <w:tab w:val="left" w:pos="360"/>
                <w:tab w:val="left" w:pos="720"/>
                <w:tab w:val="left" w:pos="1080"/>
                <w:tab w:val="left" w:pos="1440"/>
                <w:tab w:val="left" w:pos="1800"/>
                <w:tab w:val="left" w:pos="2160"/>
              </w:tabs>
              <w:jc w:val="center"/>
              <w:rPr>
                <w:b/>
                <w:sz w:val="24"/>
              </w:rPr>
            </w:pPr>
            <w:r>
              <w:rPr>
                <w:b/>
                <w:sz w:val="24"/>
              </w:rPr>
              <w:t>VOC Emissions</w:t>
            </w:r>
            <w:r>
              <w:rPr>
                <w:b/>
                <w:sz w:val="24"/>
                <w:vertAlign w:val="superscript"/>
              </w:rPr>
              <w:t>(2)</w:t>
            </w:r>
          </w:p>
          <w:p w:rsidR="00000000" w:rsidRDefault="00C40079">
            <w:pPr>
              <w:tabs>
                <w:tab w:val="left" w:pos="360"/>
                <w:tab w:val="left" w:pos="720"/>
                <w:tab w:val="left" w:pos="1080"/>
                <w:tab w:val="left" w:pos="1440"/>
                <w:tab w:val="left" w:pos="1800"/>
                <w:tab w:val="left" w:pos="2160"/>
              </w:tabs>
              <w:jc w:val="center"/>
              <w:rPr>
                <w:b/>
                <w:sz w:val="24"/>
              </w:rPr>
            </w:pPr>
            <w:r>
              <w:rPr>
                <w:b/>
                <w:sz w:val="24"/>
              </w:rPr>
              <w:t>(tons per ozone day)</w:t>
            </w:r>
          </w:p>
        </w:tc>
        <w:tc>
          <w:tcPr>
            <w:tcW w:w="2430" w:type="dxa"/>
            <w:gridSpan w:val="2"/>
            <w:tcBorders>
              <w:top w:val="double" w:sz="4" w:space="0" w:color="auto"/>
              <w:left w:val="nil"/>
              <w:bottom w:val="nil"/>
              <w:right w:val="double" w:sz="4" w:space="0" w:color="auto"/>
            </w:tcBorders>
            <w:shd w:val="pct20" w:color="auto" w:fill="FFFFFF"/>
          </w:tcPr>
          <w:p w:rsidR="00000000" w:rsidRDefault="00C40079">
            <w:pPr>
              <w:tabs>
                <w:tab w:val="left" w:pos="360"/>
                <w:tab w:val="left" w:pos="720"/>
                <w:tab w:val="left" w:pos="1080"/>
                <w:tab w:val="left" w:pos="1440"/>
                <w:tab w:val="left" w:pos="1800"/>
                <w:tab w:val="left" w:pos="2160"/>
              </w:tabs>
              <w:jc w:val="center"/>
              <w:rPr>
                <w:b/>
                <w:sz w:val="24"/>
              </w:rPr>
            </w:pPr>
            <w:r>
              <w:rPr>
                <w:b/>
                <w:sz w:val="24"/>
              </w:rPr>
              <w:t>NO</w:t>
            </w:r>
            <w:r>
              <w:rPr>
                <w:b/>
                <w:sz w:val="24"/>
                <w:vertAlign w:val="subscript"/>
              </w:rPr>
              <w:t>x</w:t>
            </w:r>
            <w:r>
              <w:rPr>
                <w:b/>
                <w:sz w:val="24"/>
              </w:rPr>
              <w:t xml:space="preserve"> Emissions</w:t>
            </w:r>
            <w:r>
              <w:rPr>
                <w:b/>
                <w:sz w:val="24"/>
                <w:vertAlign w:val="superscript"/>
              </w:rPr>
              <w:t>(2)</w:t>
            </w:r>
          </w:p>
          <w:p w:rsidR="00000000" w:rsidRDefault="00C40079">
            <w:pPr>
              <w:tabs>
                <w:tab w:val="left" w:pos="360"/>
                <w:tab w:val="left" w:pos="720"/>
                <w:tab w:val="left" w:pos="1080"/>
                <w:tab w:val="left" w:pos="1440"/>
                <w:tab w:val="left" w:pos="1800"/>
                <w:tab w:val="left" w:pos="2160"/>
              </w:tabs>
              <w:jc w:val="center"/>
              <w:rPr>
                <w:b/>
                <w:sz w:val="24"/>
              </w:rPr>
            </w:pPr>
            <w:r>
              <w:rPr>
                <w:b/>
                <w:sz w:val="24"/>
              </w:rPr>
              <w:t>(tons per ozone day)</w:t>
            </w:r>
          </w:p>
        </w:tc>
      </w:tr>
      <w:tr w:rsidR="00000000">
        <w:tblPrEx>
          <w:tblCellMar>
            <w:top w:w="0" w:type="dxa"/>
            <w:bottom w:w="0" w:type="dxa"/>
          </w:tblCellMar>
        </w:tblPrEx>
        <w:trPr>
          <w:cantSplit/>
          <w:trHeight w:val="318"/>
        </w:trPr>
        <w:tc>
          <w:tcPr>
            <w:tcW w:w="2970" w:type="dxa"/>
            <w:vMerge/>
            <w:tcBorders>
              <w:top w:val="double" w:sz="4" w:space="0" w:color="auto"/>
              <w:left w:val="double" w:sz="4" w:space="0" w:color="auto"/>
              <w:bottom w:val="nil"/>
              <w:right w:val="double" w:sz="4" w:space="0" w:color="auto"/>
            </w:tcBorders>
            <w:vAlign w:val="center"/>
          </w:tcPr>
          <w:p w:rsidR="00000000" w:rsidRDefault="00C40079">
            <w:pPr>
              <w:tabs>
                <w:tab w:val="left" w:pos="360"/>
                <w:tab w:val="left" w:pos="720"/>
                <w:tab w:val="left" w:pos="1080"/>
                <w:tab w:val="left" w:pos="1440"/>
                <w:tab w:val="left" w:pos="1800"/>
                <w:tab w:val="left" w:pos="2160"/>
              </w:tabs>
              <w:jc w:val="center"/>
              <w:rPr>
                <w:b/>
                <w:sz w:val="24"/>
              </w:rPr>
            </w:pPr>
          </w:p>
        </w:tc>
        <w:tc>
          <w:tcPr>
            <w:tcW w:w="1080" w:type="dxa"/>
            <w:tcBorders>
              <w:top w:val="single" w:sz="8" w:space="0" w:color="auto"/>
              <w:left w:val="nil"/>
              <w:bottom w:val="nil"/>
              <w:right w:val="single" w:sz="4" w:space="0" w:color="auto"/>
            </w:tcBorders>
            <w:shd w:val="pct12" w:color="auto" w:fill="FFFFFF"/>
            <w:vAlign w:val="center"/>
          </w:tcPr>
          <w:p w:rsidR="00000000" w:rsidRDefault="00C40079">
            <w:pPr>
              <w:tabs>
                <w:tab w:val="left" w:pos="360"/>
                <w:tab w:val="left" w:pos="720"/>
                <w:tab w:val="left" w:pos="1080"/>
                <w:tab w:val="left" w:pos="1440"/>
                <w:tab w:val="left" w:pos="1800"/>
                <w:tab w:val="left" w:pos="2160"/>
              </w:tabs>
              <w:jc w:val="center"/>
              <w:rPr>
                <w:b/>
                <w:sz w:val="24"/>
              </w:rPr>
            </w:pPr>
            <w:r>
              <w:rPr>
                <w:b/>
                <w:sz w:val="24"/>
              </w:rPr>
              <w:t>1997</w:t>
            </w:r>
          </w:p>
        </w:tc>
        <w:tc>
          <w:tcPr>
            <w:tcW w:w="900" w:type="dxa"/>
            <w:tcBorders>
              <w:top w:val="single" w:sz="8" w:space="0" w:color="auto"/>
              <w:left w:val="nil"/>
              <w:bottom w:val="nil"/>
              <w:right w:val="single" w:sz="4" w:space="0" w:color="auto"/>
            </w:tcBorders>
            <w:shd w:val="pct12" w:color="auto" w:fill="FFFFFF"/>
            <w:vAlign w:val="center"/>
          </w:tcPr>
          <w:p w:rsidR="00000000" w:rsidRDefault="00C40079">
            <w:pPr>
              <w:tabs>
                <w:tab w:val="left" w:pos="360"/>
                <w:tab w:val="left" w:pos="720"/>
                <w:tab w:val="left" w:pos="1080"/>
                <w:tab w:val="left" w:pos="1440"/>
                <w:tab w:val="left" w:pos="1800"/>
                <w:tab w:val="left" w:pos="2160"/>
              </w:tabs>
              <w:jc w:val="center"/>
              <w:rPr>
                <w:b/>
                <w:sz w:val="24"/>
              </w:rPr>
            </w:pPr>
            <w:r>
              <w:rPr>
                <w:b/>
                <w:sz w:val="24"/>
              </w:rPr>
              <w:t>2007</w:t>
            </w:r>
          </w:p>
        </w:tc>
        <w:tc>
          <w:tcPr>
            <w:tcW w:w="900" w:type="dxa"/>
            <w:tcBorders>
              <w:top w:val="single" w:sz="8" w:space="0" w:color="auto"/>
              <w:left w:val="nil"/>
              <w:bottom w:val="nil"/>
              <w:right w:val="double" w:sz="4" w:space="0" w:color="auto"/>
            </w:tcBorders>
            <w:shd w:val="pct12" w:color="auto" w:fill="FFFFFF"/>
            <w:vAlign w:val="center"/>
          </w:tcPr>
          <w:p w:rsidR="00000000" w:rsidRDefault="00C40079">
            <w:pPr>
              <w:tabs>
                <w:tab w:val="left" w:pos="360"/>
                <w:tab w:val="left" w:pos="720"/>
                <w:tab w:val="left" w:pos="1080"/>
                <w:tab w:val="left" w:pos="1440"/>
                <w:tab w:val="left" w:pos="1800"/>
                <w:tab w:val="left" w:pos="2160"/>
              </w:tabs>
              <w:jc w:val="center"/>
              <w:rPr>
                <w:b/>
                <w:sz w:val="24"/>
              </w:rPr>
            </w:pPr>
            <w:r>
              <w:rPr>
                <w:b/>
                <w:sz w:val="24"/>
              </w:rPr>
              <w:t>2014</w:t>
            </w:r>
          </w:p>
        </w:tc>
        <w:tc>
          <w:tcPr>
            <w:tcW w:w="1260" w:type="dxa"/>
            <w:tcBorders>
              <w:top w:val="single" w:sz="8" w:space="0" w:color="auto"/>
              <w:left w:val="nil"/>
              <w:bottom w:val="nil"/>
              <w:right w:val="single" w:sz="8" w:space="0" w:color="auto"/>
            </w:tcBorders>
            <w:shd w:val="pct12" w:color="auto" w:fill="FFFFFF"/>
            <w:vAlign w:val="center"/>
          </w:tcPr>
          <w:p w:rsidR="00000000" w:rsidRDefault="00C40079">
            <w:pPr>
              <w:tabs>
                <w:tab w:val="left" w:pos="360"/>
                <w:tab w:val="left" w:pos="720"/>
                <w:tab w:val="left" w:pos="1080"/>
                <w:tab w:val="left" w:pos="1440"/>
                <w:tab w:val="left" w:pos="1800"/>
                <w:tab w:val="left" w:pos="2160"/>
              </w:tabs>
              <w:jc w:val="center"/>
              <w:rPr>
                <w:b/>
                <w:sz w:val="24"/>
              </w:rPr>
            </w:pPr>
            <w:r>
              <w:rPr>
                <w:b/>
                <w:sz w:val="24"/>
              </w:rPr>
              <w:t>2005</w:t>
            </w:r>
          </w:p>
        </w:tc>
        <w:tc>
          <w:tcPr>
            <w:tcW w:w="1080" w:type="dxa"/>
            <w:tcBorders>
              <w:top w:val="single" w:sz="8" w:space="0" w:color="auto"/>
              <w:left w:val="single" w:sz="8" w:space="0" w:color="auto"/>
              <w:bottom w:val="nil"/>
              <w:right w:val="double" w:sz="4" w:space="0" w:color="auto"/>
            </w:tcBorders>
            <w:shd w:val="pct12" w:color="auto" w:fill="FFFFFF"/>
            <w:vAlign w:val="center"/>
          </w:tcPr>
          <w:p w:rsidR="00000000" w:rsidRDefault="00C40079">
            <w:pPr>
              <w:tabs>
                <w:tab w:val="left" w:pos="360"/>
                <w:tab w:val="left" w:pos="720"/>
                <w:tab w:val="left" w:pos="1080"/>
                <w:tab w:val="left" w:pos="1440"/>
                <w:tab w:val="left" w:pos="1800"/>
                <w:tab w:val="left" w:pos="2160"/>
              </w:tabs>
              <w:jc w:val="center"/>
              <w:rPr>
                <w:b/>
                <w:sz w:val="24"/>
              </w:rPr>
            </w:pPr>
            <w:r>
              <w:rPr>
                <w:b/>
                <w:sz w:val="24"/>
              </w:rPr>
              <w:t>20</w:t>
            </w:r>
            <w:r>
              <w:rPr>
                <w:b/>
                <w:sz w:val="24"/>
              </w:rPr>
              <w:t>07</w:t>
            </w:r>
          </w:p>
        </w:tc>
        <w:tc>
          <w:tcPr>
            <w:tcW w:w="1260" w:type="dxa"/>
            <w:tcBorders>
              <w:top w:val="single" w:sz="8" w:space="0" w:color="auto"/>
              <w:left w:val="nil"/>
              <w:bottom w:val="nil"/>
              <w:right w:val="single" w:sz="8" w:space="0" w:color="auto"/>
            </w:tcBorders>
            <w:shd w:val="pct12" w:color="auto" w:fill="FFFFFF"/>
            <w:vAlign w:val="center"/>
          </w:tcPr>
          <w:p w:rsidR="00000000" w:rsidRDefault="00C40079">
            <w:pPr>
              <w:tabs>
                <w:tab w:val="left" w:pos="360"/>
                <w:tab w:val="left" w:pos="720"/>
                <w:tab w:val="left" w:pos="1080"/>
                <w:tab w:val="left" w:pos="1440"/>
                <w:tab w:val="left" w:pos="1800"/>
                <w:tab w:val="left" w:pos="2160"/>
              </w:tabs>
              <w:jc w:val="center"/>
              <w:rPr>
                <w:b/>
                <w:sz w:val="24"/>
              </w:rPr>
            </w:pPr>
            <w:r>
              <w:rPr>
                <w:b/>
                <w:sz w:val="24"/>
              </w:rPr>
              <w:t>2005</w:t>
            </w:r>
          </w:p>
        </w:tc>
        <w:tc>
          <w:tcPr>
            <w:tcW w:w="1170" w:type="dxa"/>
            <w:tcBorders>
              <w:top w:val="single" w:sz="8" w:space="0" w:color="auto"/>
              <w:left w:val="single" w:sz="8" w:space="0" w:color="auto"/>
              <w:bottom w:val="nil"/>
              <w:right w:val="double" w:sz="4" w:space="0" w:color="auto"/>
            </w:tcBorders>
            <w:shd w:val="pct12" w:color="auto" w:fill="FFFFFF"/>
            <w:vAlign w:val="center"/>
          </w:tcPr>
          <w:p w:rsidR="00000000" w:rsidRDefault="00C40079">
            <w:pPr>
              <w:tabs>
                <w:tab w:val="left" w:pos="360"/>
                <w:tab w:val="left" w:pos="720"/>
                <w:tab w:val="left" w:pos="1080"/>
                <w:tab w:val="left" w:pos="1440"/>
                <w:tab w:val="left" w:pos="1800"/>
                <w:tab w:val="left" w:pos="2160"/>
              </w:tabs>
              <w:jc w:val="center"/>
              <w:rPr>
                <w:b/>
                <w:sz w:val="24"/>
              </w:rPr>
            </w:pPr>
            <w:r>
              <w:rPr>
                <w:b/>
                <w:sz w:val="24"/>
              </w:rPr>
              <w:t>2007</w:t>
            </w:r>
          </w:p>
        </w:tc>
      </w:tr>
      <w:tr w:rsidR="00000000">
        <w:tblPrEx>
          <w:tblCellMar>
            <w:top w:w="0" w:type="dxa"/>
            <w:bottom w:w="0" w:type="dxa"/>
          </w:tblCellMar>
        </w:tblPrEx>
        <w:trPr>
          <w:cantSplit/>
          <w:trHeight w:val="1000"/>
        </w:trPr>
        <w:tc>
          <w:tcPr>
            <w:tcW w:w="2970" w:type="dxa"/>
            <w:tcBorders>
              <w:top w:val="double" w:sz="4" w:space="0" w:color="auto"/>
              <w:left w:val="double" w:sz="4" w:space="0" w:color="auto"/>
              <w:bottom w:val="double" w:sz="4" w:space="0" w:color="auto"/>
              <w:right w:val="double" w:sz="4" w:space="0" w:color="auto"/>
            </w:tcBorders>
            <w:shd w:val="clear" w:color="auto" w:fill="FFFFFF"/>
            <w:vAlign w:val="center"/>
          </w:tcPr>
          <w:p w:rsidR="00000000" w:rsidRDefault="00C40079">
            <w:pPr>
              <w:tabs>
                <w:tab w:val="left" w:pos="360"/>
                <w:tab w:val="left" w:pos="720"/>
                <w:tab w:val="left" w:pos="1080"/>
                <w:tab w:val="left" w:pos="1440"/>
                <w:tab w:val="left" w:pos="1800"/>
                <w:tab w:val="left" w:pos="2160"/>
              </w:tabs>
              <w:jc w:val="center"/>
              <w:rPr>
                <w:sz w:val="24"/>
              </w:rPr>
            </w:pPr>
            <w:r>
              <w:rPr>
                <w:sz w:val="24"/>
              </w:rPr>
              <w:t>North Jersey Transportation</w:t>
            </w:r>
          </w:p>
          <w:p w:rsidR="00000000" w:rsidRDefault="00C40079">
            <w:pPr>
              <w:tabs>
                <w:tab w:val="left" w:pos="360"/>
                <w:tab w:val="left" w:pos="720"/>
                <w:tab w:val="left" w:pos="1080"/>
                <w:tab w:val="left" w:pos="1440"/>
                <w:tab w:val="left" w:pos="1800"/>
                <w:tab w:val="left" w:pos="2160"/>
              </w:tabs>
              <w:jc w:val="center"/>
              <w:rPr>
                <w:sz w:val="24"/>
              </w:rPr>
            </w:pPr>
            <w:r>
              <w:rPr>
                <w:sz w:val="24"/>
              </w:rPr>
              <w:t>Planning Authority</w:t>
            </w:r>
          </w:p>
        </w:tc>
        <w:tc>
          <w:tcPr>
            <w:tcW w:w="1080" w:type="dxa"/>
            <w:tcBorders>
              <w:top w:val="double" w:sz="4" w:space="0" w:color="auto"/>
              <w:left w:val="nil"/>
              <w:bottom w:val="double" w:sz="4" w:space="0" w:color="auto"/>
              <w:right w:val="single" w:sz="4" w:space="0" w:color="auto"/>
            </w:tcBorders>
            <w:shd w:val="clear" w:color="auto" w:fill="FFFFFF"/>
            <w:vAlign w:val="center"/>
          </w:tcPr>
          <w:p w:rsidR="00000000" w:rsidRDefault="00C40079">
            <w:pPr>
              <w:tabs>
                <w:tab w:val="left" w:pos="360"/>
                <w:tab w:val="left" w:pos="720"/>
                <w:tab w:val="left" w:pos="1080"/>
                <w:tab w:val="left" w:pos="1440"/>
                <w:tab w:val="left" w:pos="1800"/>
                <w:tab w:val="left" w:pos="2160"/>
              </w:tabs>
              <w:jc w:val="center"/>
              <w:rPr>
                <w:sz w:val="24"/>
                <w:vertAlign w:val="superscript"/>
              </w:rPr>
            </w:pPr>
            <w:r>
              <w:rPr>
                <w:sz w:val="24"/>
              </w:rPr>
              <w:t>1,550.74</w:t>
            </w:r>
          </w:p>
        </w:tc>
        <w:tc>
          <w:tcPr>
            <w:tcW w:w="900" w:type="dxa"/>
            <w:tcBorders>
              <w:top w:val="double" w:sz="4" w:space="0" w:color="auto"/>
              <w:left w:val="nil"/>
              <w:bottom w:val="double" w:sz="4" w:space="0" w:color="auto"/>
              <w:right w:val="single" w:sz="4" w:space="0" w:color="auto"/>
            </w:tcBorders>
            <w:shd w:val="clear" w:color="auto" w:fill="FFFFFF"/>
            <w:vAlign w:val="center"/>
          </w:tcPr>
          <w:p w:rsidR="00000000" w:rsidRDefault="00C40079">
            <w:pPr>
              <w:tabs>
                <w:tab w:val="left" w:pos="360"/>
                <w:tab w:val="left" w:pos="720"/>
                <w:tab w:val="left" w:pos="1080"/>
                <w:tab w:val="left" w:pos="1440"/>
                <w:tab w:val="left" w:pos="1800"/>
                <w:tab w:val="left" w:pos="2160"/>
              </w:tabs>
              <w:jc w:val="center"/>
              <w:rPr>
                <w:sz w:val="24"/>
                <w:vertAlign w:val="superscript"/>
              </w:rPr>
            </w:pPr>
            <w:r>
              <w:rPr>
                <w:sz w:val="24"/>
              </w:rPr>
              <w:t>1,150</w:t>
            </w:r>
          </w:p>
        </w:tc>
        <w:tc>
          <w:tcPr>
            <w:tcW w:w="900" w:type="dxa"/>
            <w:tcBorders>
              <w:top w:val="double" w:sz="4" w:space="0" w:color="auto"/>
              <w:left w:val="nil"/>
              <w:bottom w:val="double" w:sz="4" w:space="0" w:color="auto"/>
              <w:right w:val="double" w:sz="4" w:space="0" w:color="auto"/>
            </w:tcBorders>
            <w:shd w:val="clear" w:color="auto" w:fill="FFFFFF"/>
            <w:vAlign w:val="center"/>
          </w:tcPr>
          <w:p w:rsidR="00000000" w:rsidRDefault="00C40079">
            <w:pPr>
              <w:tabs>
                <w:tab w:val="left" w:pos="360"/>
                <w:tab w:val="left" w:pos="720"/>
                <w:tab w:val="left" w:pos="1080"/>
                <w:tab w:val="left" w:pos="1440"/>
                <w:tab w:val="left" w:pos="1800"/>
                <w:tab w:val="left" w:pos="2160"/>
              </w:tabs>
              <w:jc w:val="center"/>
              <w:rPr>
                <w:sz w:val="24"/>
              </w:rPr>
            </w:pPr>
            <w:r>
              <w:rPr>
                <w:sz w:val="24"/>
              </w:rPr>
              <w:t xml:space="preserve">  899</w:t>
            </w:r>
          </w:p>
        </w:tc>
        <w:tc>
          <w:tcPr>
            <w:tcW w:w="1260" w:type="dxa"/>
            <w:tcBorders>
              <w:top w:val="double" w:sz="4" w:space="0" w:color="auto"/>
              <w:left w:val="nil"/>
              <w:bottom w:val="double" w:sz="4" w:space="0" w:color="auto"/>
              <w:right w:val="single" w:sz="8" w:space="0" w:color="auto"/>
            </w:tcBorders>
            <w:shd w:val="clear" w:color="auto" w:fill="FFFFFF"/>
            <w:vAlign w:val="center"/>
          </w:tcPr>
          <w:p w:rsidR="00000000" w:rsidRDefault="00C40079">
            <w:pPr>
              <w:tabs>
                <w:tab w:val="left" w:pos="360"/>
                <w:tab w:val="left" w:pos="720"/>
                <w:tab w:val="left" w:pos="1080"/>
                <w:tab w:val="left" w:pos="1440"/>
                <w:tab w:val="left" w:pos="1800"/>
                <w:tab w:val="left" w:pos="2160"/>
              </w:tabs>
              <w:jc w:val="center"/>
              <w:rPr>
                <w:sz w:val="24"/>
                <w:vertAlign w:val="superscript"/>
              </w:rPr>
            </w:pPr>
            <w:r>
              <w:rPr>
                <w:sz w:val="24"/>
              </w:rPr>
              <w:t>146.33</w:t>
            </w:r>
          </w:p>
        </w:tc>
        <w:tc>
          <w:tcPr>
            <w:tcW w:w="1080" w:type="dxa"/>
            <w:tcBorders>
              <w:top w:val="double" w:sz="4" w:space="0" w:color="auto"/>
              <w:left w:val="single" w:sz="8" w:space="0" w:color="auto"/>
              <w:bottom w:val="double" w:sz="4" w:space="0" w:color="auto"/>
              <w:right w:val="double" w:sz="4" w:space="0" w:color="auto"/>
            </w:tcBorders>
            <w:shd w:val="clear" w:color="auto" w:fill="FFFFFF"/>
            <w:vAlign w:val="center"/>
          </w:tcPr>
          <w:p w:rsidR="00000000" w:rsidRDefault="00C40079">
            <w:pPr>
              <w:tabs>
                <w:tab w:val="left" w:pos="360"/>
                <w:tab w:val="left" w:pos="720"/>
                <w:tab w:val="left" w:pos="1080"/>
                <w:tab w:val="left" w:pos="1440"/>
                <w:tab w:val="left" w:pos="1800"/>
                <w:tab w:val="left" w:pos="2160"/>
              </w:tabs>
              <w:jc w:val="center"/>
              <w:rPr>
                <w:sz w:val="24"/>
              </w:rPr>
            </w:pPr>
            <w:r>
              <w:rPr>
                <w:sz w:val="24"/>
              </w:rPr>
              <w:t>122.53</w:t>
            </w:r>
          </w:p>
        </w:tc>
        <w:tc>
          <w:tcPr>
            <w:tcW w:w="1260" w:type="dxa"/>
            <w:tcBorders>
              <w:top w:val="double" w:sz="4" w:space="0" w:color="auto"/>
              <w:left w:val="nil"/>
              <w:bottom w:val="double" w:sz="4" w:space="0" w:color="auto"/>
              <w:right w:val="single" w:sz="8" w:space="0" w:color="auto"/>
            </w:tcBorders>
            <w:shd w:val="clear" w:color="auto" w:fill="FFFFFF"/>
            <w:vAlign w:val="center"/>
          </w:tcPr>
          <w:p w:rsidR="00000000" w:rsidRDefault="00C40079">
            <w:pPr>
              <w:tabs>
                <w:tab w:val="left" w:pos="360"/>
                <w:tab w:val="left" w:pos="720"/>
                <w:tab w:val="left" w:pos="1080"/>
                <w:tab w:val="left" w:pos="1440"/>
                <w:tab w:val="left" w:pos="1800"/>
                <w:tab w:val="left" w:pos="2160"/>
              </w:tabs>
              <w:jc w:val="center"/>
              <w:rPr>
                <w:sz w:val="24"/>
                <w:vertAlign w:val="superscript"/>
              </w:rPr>
            </w:pPr>
            <w:r>
              <w:rPr>
                <w:sz w:val="24"/>
              </w:rPr>
              <w:t>327.83</w:t>
            </w:r>
          </w:p>
        </w:tc>
        <w:tc>
          <w:tcPr>
            <w:tcW w:w="1170" w:type="dxa"/>
            <w:tcBorders>
              <w:top w:val="double" w:sz="4" w:space="0" w:color="auto"/>
              <w:left w:val="single" w:sz="8" w:space="0" w:color="auto"/>
              <w:bottom w:val="double" w:sz="4" w:space="0" w:color="auto"/>
              <w:right w:val="double" w:sz="4" w:space="0" w:color="auto"/>
            </w:tcBorders>
            <w:shd w:val="clear" w:color="auto" w:fill="FFFFFF"/>
            <w:vAlign w:val="center"/>
          </w:tcPr>
          <w:p w:rsidR="00000000" w:rsidRDefault="00C40079">
            <w:pPr>
              <w:tabs>
                <w:tab w:val="left" w:pos="360"/>
                <w:tab w:val="left" w:pos="720"/>
                <w:tab w:val="left" w:pos="1080"/>
                <w:tab w:val="left" w:pos="1440"/>
                <w:tab w:val="left" w:pos="1800"/>
                <w:tab w:val="left" w:pos="2160"/>
              </w:tabs>
              <w:jc w:val="center"/>
              <w:rPr>
                <w:sz w:val="24"/>
              </w:rPr>
            </w:pPr>
            <w:r>
              <w:rPr>
                <w:sz w:val="24"/>
              </w:rPr>
              <w:t>256.58</w:t>
            </w:r>
          </w:p>
        </w:tc>
      </w:tr>
    </w:tbl>
    <w:p w:rsidR="00000000" w:rsidRDefault="00C40079">
      <w:pPr>
        <w:pStyle w:val="Level2"/>
        <w:tabs>
          <w:tab w:val="left" w:pos="720"/>
          <w:tab w:val="left" w:pos="1080"/>
          <w:tab w:val="left" w:pos="1440"/>
          <w:tab w:val="left" w:pos="1800"/>
          <w:tab w:val="left" w:pos="2160"/>
        </w:tabs>
        <w:rPr>
          <w:sz w:val="22"/>
        </w:rPr>
      </w:pPr>
      <w:r>
        <w:rPr>
          <w:sz w:val="22"/>
        </w:rPr>
        <w:t>NOTES:</w:t>
      </w:r>
    </w:p>
    <w:p w:rsidR="00000000" w:rsidRDefault="00C40079">
      <w:pPr>
        <w:pStyle w:val="Level2"/>
        <w:numPr>
          <w:ilvl w:val="0"/>
          <w:numId w:val="24"/>
        </w:numPr>
        <w:tabs>
          <w:tab w:val="left" w:pos="720"/>
          <w:tab w:val="left" w:pos="1080"/>
          <w:tab w:val="left" w:pos="1440"/>
          <w:tab w:val="left" w:pos="1800"/>
          <w:tab w:val="left" w:pos="2160"/>
        </w:tabs>
        <w:rPr>
          <w:sz w:val="22"/>
        </w:rPr>
      </w:pPr>
      <w:r>
        <w:rPr>
          <w:sz w:val="22"/>
        </w:rPr>
        <w:t>For Passaic, Bergen, Essex, Hudson and Union counties.</w:t>
      </w:r>
    </w:p>
    <w:p w:rsidR="00000000" w:rsidRDefault="00C40079">
      <w:pPr>
        <w:pStyle w:val="Level2"/>
        <w:numPr>
          <w:ilvl w:val="0"/>
          <w:numId w:val="24"/>
        </w:numPr>
        <w:tabs>
          <w:tab w:val="left" w:pos="720"/>
          <w:tab w:val="left" w:pos="1080"/>
          <w:tab w:val="left" w:pos="1440"/>
          <w:tab w:val="left" w:pos="1800"/>
          <w:tab w:val="left" w:pos="2160"/>
        </w:tabs>
      </w:pPr>
      <w:r>
        <w:rPr>
          <w:sz w:val="22"/>
        </w:rPr>
        <w:t>For all counties within the Metropolitan Planning Organization.</w:t>
      </w:r>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jc w:val="center"/>
        <w:rPr>
          <w:b/>
        </w:rPr>
      </w:pPr>
      <w:bookmarkStart w:id="94" w:name="Table_II"/>
      <w:bookmarkStart w:id="95" w:name="_Hlt126641855"/>
      <w:bookmarkEnd w:id="95"/>
      <w:r>
        <w:rPr>
          <w:b/>
        </w:rPr>
        <w:t>Table II</w:t>
      </w:r>
      <w:bookmarkEnd w:id="94"/>
      <w:r>
        <w:rPr>
          <w:b/>
        </w:rPr>
        <w:t xml:space="preserve"> </w:t>
      </w:r>
    </w:p>
    <w:p w:rsidR="00000000" w:rsidRDefault="00C40079">
      <w:pPr>
        <w:pStyle w:val="Level2"/>
        <w:tabs>
          <w:tab w:val="left" w:pos="720"/>
          <w:tab w:val="left" w:pos="1080"/>
          <w:tab w:val="left" w:pos="1440"/>
          <w:tab w:val="left" w:pos="1800"/>
          <w:tab w:val="left" w:pos="2160"/>
        </w:tabs>
        <w:jc w:val="center"/>
        <w:rPr>
          <w:b/>
        </w:rPr>
      </w:pPr>
      <w:r>
        <w:rPr>
          <w:b/>
        </w:rPr>
        <w:t>Compari</w:t>
      </w:r>
      <w:r>
        <w:rPr>
          <w:b/>
        </w:rPr>
        <w:t>son of the Proposed Updated Transportation Conformity Emission Budgets</w:t>
      </w:r>
    </w:p>
    <w:p w:rsidR="00000000" w:rsidRDefault="00C40079">
      <w:pPr>
        <w:pStyle w:val="Level2"/>
        <w:tabs>
          <w:tab w:val="left" w:pos="720"/>
          <w:tab w:val="left" w:pos="1080"/>
          <w:tab w:val="left" w:pos="1440"/>
          <w:tab w:val="left" w:pos="1800"/>
          <w:tab w:val="left" w:pos="2160"/>
        </w:tabs>
        <w:jc w:val="center"/>
        <w:rPr>
          <w:b/>
        </w:rPr>
      </w:pPr>
      <w:r>
        <w:rPr>
          <w:b/>
        </w:rPr>
        <w:t>with Prior Budgets</w:t>
      </w:r>
    </w:p>
    <w:p w:rsidR="00000000" w:rsidRDefault="00C40079">
      <w:pPr>
        <w:pStyle w:val="Level2"/>
        <w:tabs>
          <w:tab w:val="left" w:pos="720"/>
          <w:tab w:val="left" w:pos="1080"/>
          <w:tab w:val="left" w:pos="1440"/>
          <w:tab w:val="left" w:pos="1800"/>
          <w:tab w:val="left" w:pos="2160"/>
        </w:tabs>
        <w:jc w:val="center"/>
        <w:rPr>
          <w:b/>
        </w:rPr>
      </w:pPr>
    </w:p>
    <w:tbl>
      <w:tblPr>
        <w:tblW w:w="0" w:type="auto"/>
        <w:tblInd w:w="-475"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CellMar>
          <w:left w:w="65" w:type="dxa"/>
          <w:right w:w="65" w:type="dxa"/>
        </w:tblCellMar>
        <w:tblLook w:val="0000" w:firstRow="0" w:lastRow="0" w:firstColumn="0" w:lastColumn="0" w:noHBand="0" w:noVBand="0"/>
      </w:tblPr>
      <w:tblGrid>
        <w:gridCol w:w="1800"/>
        <w:gridCol w:w="1260"/>
        <w:gridCol w:w="1080"/>
        <w:gridCol w:w="900"/>
        <w:gridCol w:w="900"/>
        <w:gridCol w:w="1260"/>
        <w:gridCol w:w="1080"/>
        <w:gridCol w:w="1260"/>
        <w:gridCol w:w="1080"/>
      </w:tblGrid>
      <w:tr w:rsidR="00000000">
        <w:tblPrEx>
          <w:tblCellMar>
            <w:top w:w="0" w:type="dxa"/>
            <w:bottom w:w="0" w:type="dxa"/>
          </w:tblCellMar>
        </w:tblPrEx>
        <w:trPr>
          <w:cantSplit/>
          <w:trHeight w:val="650"/>
        </w:trPr>
        <w:tc>
          <w:tcPr>
            <w:tcW w:w="1800" w:type="dxa"/>
            <w:vMerge w:val="restart"/>
            <w:tcBorders>
              <w:top w:val="double" w:sz="4" w:space="0" w:color="auto"/>
              <w:bottom w:val="single" w:sz="4" w:space="0" w:color="auto"/>
              <w:right w:val="single" w:sz="8" w:space="0" w:color="auto"/>
            </w:tcBorders>
            <w:shd w:val="pct20" w:color="auto" w:fill="FFFFFF"/>
            <w:vAlign w:val="center"/>
          </w:tcPr>
          <w:p w:rsidR="00000000" w:rsidRDefault="00C40079">
            <w:pPr>
              <w:tabs>
                <w:tab w:val="left" w:pos="360"/>
                <w:tab w:val="left" w:pos="720"/>
                <w:tab w:val="left" w:pos="1080"/>
                <w:tab w:val="left" w:pos="1440"/>
                <w:tab w:val="left" w:pos="1800"/>
                <w:tab w:val="left" w:pos="2160"/>
              </w:tabs>
              <w:jc w:val="center"/>
              <w:rPr>
                <w:b/>
                <w:sz w:val="24"/>
              </w:rPr>
            </w:pPr>
            <w:r>
              <w:rPr>
                <w:b/>
                <w:sz w:val="24"/>
              </w:rPr>
              <w:t>Transportation</w:t>
            </w:r>
          </w:p>
          <w:p w:rsidR="00000000" w:rsidRDefault="00C40079">
            <w:pPr>
              <w:tabs>
                <w:tab w:val="left" w:pos="360"/>
                <w:tab w:val="left" w:pos="720"/>
                <w:tab w:val="left" w:pos="1080"/>
                <w:tab w:val="left" w:pos="1440"/>
                <w:tab w:val="left" w:pos="1800"/>
                <w:tab w:val="left" w:pos="2160"/>
              </w:tabs>
              <w:jc w:val="center"/>
              <w:rPr>
                <w:b/>
                <w:sz w:val="24"/>
              </w:rPr>
            </w:pPr>
            <w:r>
              <w:rPr>
                <w:b/>
                <w:sz w:val="24"/>
              </w:rPr>
              <w:t>Planning Area</w:t>
            </w:r>
          </w:p>
        </w:tc>
        <w:tc>
          <w:tcPr>
            <w:tcW w:w="1260" w:type="dxa"/>
            <w:vMerge w:val="restart"/>
            <w:tcBorders>
              <w:top w:val="double" w:sz="4" w:space="0" w:color="auto"/>
              <w:left w:val="nil"/>
              <w:bottom w:val="single" w:sz="4" w:space="0" w:color="auto"/>
              <w:right w:val="single" w:sz="8" w:space="0" w:color="auto"/>
            </w:tcBorders>
            <w:shd w:val="pct20" w:color="auto" w:fill="FFFFFF"/>
            <w:vAlign w:val="center"/>
          </w:tcPr>
          <w:p w:rsidR="00000000" w:rsidRDefault="00C40079">
            <w:pPr>
              <w:tabs>
                <w:tab w:val="left" w:pos="720"/>
                <w:tab w:val="left" w:pos="1080"/>
                <w:tab w:val="left" w:pos="1440"/>
                <w:tab w:val="left" w:pos="1800"/>
                <w:tab w:val="left" w:pos="2160"/>
              </w:tabs>
              <w:jc w:val="center"/>
              <w:rPr>
                <w:b/>
                <w:sz w:val="24"/>
              </w:rPr>
            </w:pPr>
            <w:r>
              <w:rPr>
                <w:b/>
                <w:sz w:val="24"/>
              </w:rPr>
              <w:t>Prior or Updated</w:t>
            </w:r>
          </w:p>
        </w:tc>
        <w:tc>
          <w:tcPr>
            <w:tcW w:w="2880" w:type="dxa"/>
            <w:gridSpan w:val="3"/>
            <w:tcBorders>
              <w:top w:val="double" w:sz="4" w:space="0" w:color="auto"/>
              <w:left w:val="nil"/>
              <w:bottom w:val="single" w:sz="2" w:space="0" w:color="auto"/>
              <w:right w:val="single" w:sz="8" w:space="0" w:color="auto"/>
            </w:tcBorders>
            <w:shd w:val="pct20" w:color="auto" w:fill="FFFFFF"/>
            <w:vAlign w:val="center"/>
          </w:tcPr>
          <w:p w:rsidR="00000000" w:rsidRDefault="00C40079">
            <w:pPr>
              <w:tabs>
                <w:tab w:val="left" w:pos="720"/>
                <w:tab w:val="left" w:pos="1080"/>
                <w:tab w:val="left" w:pos="1440"/>
                <w:tab w:val="left" w:pos="1800"/>
                <w:tab w:val="left" w:pos="2160"/>
              </w:tabs>
              <w:jc w:val="center"/>
              <w:rPr>
                <w:b/>
                <w:sz w:val="24"/>
              </w:rPr>
            </w:pPr>
            <w:r>
              <w:rPr>
                <w:b/>
                <w:sz w:val="24"/>
              </w:rPr>
              <w:t>Carbon Monoxide Emissions</w:t>
            </w:r>
            <w:r>
              <w:rPr>
                <w:b/>
                <w:sz w:val="24"/>
                <w:vertAlign w:val="superscript"/>
              </w:rPr>
              <w:t>(1)</w:t>
            </w:r>
          </w:p>
          <w:p w:rsidR="00000000" w:rsidRDefault="00C40079">
            <w:pPr>
              <w:tabs>
                <w:tab w:val="left" w:pos="720"/>
                <w:tab w:val="left" w:pos="1080"/>
                <w:tab w:val="left" w:pos="1440"/>
                <w:tab w:val="left" w:pos="1800"/>
                <w:tab w:val="left" w:pos="2160"/>
              </w:tabs>
              <w:jc w:val="center"/>
              <w:rPr>
                <w:b/>
                <w:sz w:val="24"/>
              </w:rPr>
            </w:pPr>
            <w:r>
              <w:rPr>
                <w:b/>
                <w:sz w:val="24"/>
              </w:rPr>
              <w:t>(tons per winter day)</w:t>
            </w:r>
          </w:p>
        </w:tc>
        <w:tc>
          <w:tcPr>
            <w:tcW w:w="2340" w:type="dxa"/>
            <w:gridSpan w:val="2"/>
            <w:tcBorders>
              <w:top w:val="double" w:sz="4" w:space="0" w:color="auto"/>
              <w:left w:val="nil"/>
              <w:bottom w:val="nil"/>
              <w:right w:val="single" w:sz="8" w:space="0" w:color="auto"/>
            </w:tcBorders>
            <w:shd w:val="pct20" w:color="auto" w:fill="FFFFFF"/>
            <w:vAlign w:val="center"/>
          </w:tcPr>
          <w:p w:rsidR="00000000" w:rsidRDefault="00C40079">
            <w:pPr>
              <w:tabs>
                <w:tab w:val="left" w:pos="720"/>
                <w:tab w:val="left" w:pos="1080"/>
                <w:tab w:val="left" w:pos="1440"/>
                <w:tab w:val="left" w:pos="1800"/>
                <w:tab w:val="left" w:pos="2160"/>
              </w:tabs>
              <w:jc w:val="center"/>
              <w:rPr>
                <w:b/>
                <w:sz w:val="24"/>
              </w:rPr>
            </w:pPr>
            <w:r>
              <w:rPr>
                <w:b/>
                <w:sz w:val="24"/>
              </w:rPr>
              <w:t>VOC Emissions</w:t>
            </w:r>
            <w:r>
              <w:rPr>
                <w:b/>
                <w:sz w:val="24"/>
                <w:vertAlign w:val="superscript"/>
              </w:rPr>
              <w:t>(2)</w:t>
            </w:r>
          </w:p>
          <w:p w:rsidR="00000000" w:rsidRDefault="00C40079">
            <w:pPr>
              <w:tabs>
                <w:tab w:val="left" w:pos="720"/>
                <w:tab w:val="left" w:pos="1080"/>
                <w:tab w:val="left" w:pos="1440"/>
                <w:tab w:val="left" w:pos="1800"/>
                <w:tab w:val="left" w:pos="2160"/>
              </w:tabs>
              <w:jc w:val="center"/>
              <w:rPr>
                <w:b/>
                <w:sz w:val="24"/>
              </w:rPr>
            </w:pPr>
            <w:r>
              <w:rPr>
                <w:b/>
                <w:sz w:val="24"/>
              </w:rPr>
              <w:t>(tons per ozone day)</w:t>
            </w:r>
          </w:p>
        </w:tc>
        <w:tc>
          <w:tcPr>
            <w:tcW w:w="2340" w:type="dxa"/>
            <w:gridSpan w:val="2"/>
            <w:tcBorders>
              <w:top w:val="double" w:sz="4" w:space="0" w:color="auto"/>
              <w:left w:val="nil"/>
              <w:bottom w:val="nil"/>
            </w:tcBorders>
            <w:shd w:val="pct20" w:color="auto" w:fill="FFFFFF"/>
            <w:vAlign w:val="center"/>
          </w:tcPr>
          <w:p w:rsidR="00000000" w:rsidRDefault="00C40079">
            <w:pPr>
              <w:tabs>
                <w:tab w:val="left" w:pos="720"/>
                <w:tab w:val="left" w:pos="1080"/>
                <w:tab w:val="left" w:pos="1440"/>
                <w:tab w:val="left" w:pos="1800"/>
                <w:tab w:val="left" w:pos="2160"/>
              </w:tabs>
              <w:jc w:val="center"/>
              <w:rPr>
                <w:b/>
                <w:sz w:val="24"/>
              </w:rPr>
            </w:pPr>
            <w:r>
              <w:rPr>
                <w:b/>
                <w:sz w:val="24"/>
              </w:rPr>
              <w:t>NO</w:t>
            </w:r>
            <w:r>
              <w:rPr>
                <w:b/>
                <w:sz w:val="24"/>
                <w:vertAlign w:val="subscript"/>
              </w:rPr>
              <w:t>x</w:t>
            </w:r>
            <w:r>
              <w:rPr>
                <w:b/>
                <w:sz w:val="24"/>
              </w:rPr>
              <w:t xml:space="preserve"> Emissions</w:t>
            </w:r>
            <w:r>
              <w:rPr>
                <w:b/>
                <w:sz w:val="24"/>
                <w:vertAlign w:val="superscript"/>
              </w:rPr>
              <w:t>(2)</w:t>
            </w:r>
          </w:p>
          <w:p w:rsidR="00000000" w:rsidRDefault="00C40079">
            <w:pPr>
              <w:tabs>
                <w:tab w:val="left" w:pos="720"/>
                <w:tab w:val="left" w:pos="1080"/>
                <w:tab w:val="left" w:pos="1440"/>
                <w:tab w:val="left" w:pos="1800"/>
                <w:tab w:val="left" w:pos="2160"/>
              </w:tabs>
              <w:jc w:val="center"/>
              <w:rPr>
                <w:b/>
                <w:sz w:val="24"/>
              </w:rPr>
            </w:pPr>
            <w:r>
              <w:rPr>
                <w:b/>
                <w:sz w:val="24"/>
              </w:rPr>
              <w:t>(tons per ozo</w:t>
            </w:r>
            <w:r>
              <w:rPr>
                <w:b/>
                <w:sz w:val="24"/>
              </w:rPr>
              <w:t>ne day)</w:t>
            </w:r>
          </w:p>
        </w:tc>
      </w:tr>
      <w:tr w:rsidR="00000000">
        <w:tblPrEx>
          <w:tblCellMar>
            <w:top w:w="0" w:type="dxa"/>
            <w:bottom w:w="0" w:type="dxa"/>
          </w:tblCellMar>
        </w:tblPrEx>
        <w:trPr>
          <w:cantSplit/>
          <w:trHeight w:val="650"/>
        </w:trPr>
        <w:tc>
          <w:tcPr>
            <w:tcW w:w="1800" w:type="dxa"/>
            <w:vMerge/>
            <w:tcBorders>
              <w:top w:val="single" w:sz="4" w:space="0" w:color="auto"/>
              <w:bottom w:val="nil"/>
              <w:right w:val="single" w:sz="8" w:space="0" w:color="auto"/>
            </w:tcBorders>
            <w:vAlign w:val="center"/>
          </w:tcPr>
          <w:p w:rsidR="00000000" w:rsidRDefault="00C40079">
            <w:pPr>
              <w:tabs>
                <w:tab w:val="left" w:pos="360"/>
                <w:tab w:val="left" w:pos="720"/>
                <w:tab w:val="left" w:pos="1080"/>
                <w:tab w:val="left" w:pos="1440"/>
                <w:tab w:val="left" w:pos="1800"/>
                <w:tab w:val="left" w:pos="2160"/>
              </w:tabs>
              <w:jc w:val="center"/>
              <w:rPr>
                <w:b/>
                <w:sz w:val="24"/>
              </w:rPr>
            </w:pPr>
          </w:p>
        </w:tc>
        <w:tc>
          <w:tcPr>
            <w:tcW w:w="1260" w:type="dxa"/>
            <w:vMerge/>
            <w:tcBorders>
              <w:top w:val="single" w:sz="4" w:space="0" w:color="auto"/>
              <w:left w:val="nil"/>
              <w:bottom w:val="nil"/>
              <w:right w:val="single" w:sz="8" w:space="0" w:color="auto"/>
            </w:tcBorders>
            <w:vAlign w:val="center"/>
          </w:tcPr>
          <w:p w:rsidR="00000000" w:rsidRDefault="00C40079">
            <w:pPr>
              <w:tabs>
                <w:tab w:val="left" w:pos="720"/>
                <w:tab w:val="left" w:pos="1080"/>
                <w:tab w:val="left" w:pos="1440"/>
                <w:tab w:val="left" w:pos="1800"/>
                <w:tab w:val="left" w:pos="2160"/>
              </w:tabs>
              <w:jc w:val="center"/>
              <w:rPr>
                <w:b/>
                <w:sz w:val="24"/>
              </w:rPr>
            </w:pPr>
          </w:p>
        </w:tc>
        <w:tc>
          <w:tcPr>
            <w:tcW w:w="1080" w:type="dxa"/>
            <w:tcBorders>
              <w:top w:val="single" w:sz="2" w:space="0" w:color="auto"/>
              <w:left w:val="nil"/>
              <w:bottom w:val="nil"/>
            </w:tcBorders>
            <w:shd w:val="pct12" w:color="auto" w:fill="FFFFFF"/>
            <w:vAlign w:val="center"/>
          </w:tcPr>
          <w:p w:rsidR="00000000" w:rsidRDefault="00C40079">
            <w:pPr>
              <w:tabs>
                <w:tab w:val="left" w:pos="720"/>
                <w:tab w:val="left" w:pos="1080"/>
                <w:tab w:val="left" w:pos="1440"/>
                <w:tab w:val="left" w:pos="1800"/>
                <w:tab w:val="left" w:pos="2160"/>
              </w:tabs>
              <w:jc w:val="center"/>
              <w:rPr>
                <w:b/>
                <w:sz w:val="24"/>
              </w:rPr>
            </w:pPr>
            <w:r>
              <w:rPr>
                <w:b/>
                <w:sz w:val="24"/>
              </w:rPr>
              <w:t>1997</w:t>
            </w:r>
          </w:p>
        </w:tc>
        <w:tc>
          <w:tcPr>
            <w:tcW w:w="900" w:type="dxa"/>
            <w:tcBorders>
              <w:top w:val="single" w:sz="2" w:space="0" w:color="auto"/>
              <w:bottom w:val="nil"/>
            </w:tcBorders>
            <w:shd w:val="pct12" w:color="auto" w:fill="FFFFFF"/>
            <w:vAlign w:val="center"/>
          </w:tcPr>
          <w:p w:rsidR="00000000" w:rsidRDefault="00C40079">
            <w:pPr>
              <w:tabs>
                <w:tab w:val="left" w:pos="720"/>
                <w:tab w:val="left" w:pos="1080"/>
                <w:tab w:val="left" w:pos="1440"/>
                <w:tab w:val="left" w:pos="1800"/>
                <w:tab w:val="left" w:pos="2160"/>
              </w:tabs>
              <w:jc w:val="center"/>
              <w:rPr>
                <w:b/>
                <w:sz w:val="24"/>
              </w:rPr>
            </w:pPr>
            <w:r>
              <w:rPr>
                <w:b/>
                <w:sz w:val="24"/>
              </w:rPr>
              <w:t>2007</w:t>
            </w:r>
          </w:p>
        </w:tc>
        <w:tc>
          <w:tcPr>
            <w:tcW w:w="900" w:type="dxa"/>
            <w:tcBorders>
              <w:top w:val="single" w:sz="2" w:space="0" w:color="auto"/>
              <w:bottom w:val="nil"/>
              <w:right w:val="single" w:sz="8" w:space="0" w:color="auto"/>
            </w:tcBorders>
            <w:shd w:val="pct12" w:color="auto" w:fill="FFFFFF"/>
            <w:vAlign w:val="center"/>
          </w:tcPr>
          <w:p w:rsidR="00000000" w:rsidRDefault="00C40079">
            <w:pPr>
              <w:tabs>
                <w:tab w:val="left" w:pos="720"/>
                <w:tab w:val="left" w:pos="1080"/>
                <w:tab w:val="left" w:pos="1440"/>
                <w:tab w:val="left" w:pos="1800"/>
                <w:tab w:val="left" w:pos="2160"/>
              </w:tabs>
              <w:jc w:val="center"/>
              <w:rPr>
                <w:b/>
                <w:sz w:val="24"/>
              </w:rPr>
            </w:pPr>
            <w:r>
              <w:rPr>
                <w:b/>
                <w:sz w:val="24"/>
              </w:rPr>
              <w:t>2014</w:t>
            </w:r>
          </w:p>
        </w:tc>
        <w:tc>
          <w:tcPr>
            <w:tcW w:w="1260" w:type="dxa"/>
            <w:tcBorders>
              <w:left w:val="nil"/>
              <w:bottom w:val="nil"/>
            </w:tcBorders>
            <w:shd w:val="pct12" w:color="auto" w:fill="FFFFFF"/>
            <w:vAlign w:val="center"/>
          </w:tcPr>
          <w:p w:rsidR="00000000" w:rsidRDefault="00C40079">
            <w:pPr>
              <w:tabs>
                <w:tab w:val="left" w:pos="720"/>
                <w:tab w:val="left" w:pos="1080"/>
                <w:tab w:val="left" w:pos="1440"/>
                <w:tab w:val="left" w:pos="1800"/>
                <w:tab w:val="left" w:pos="2160"/>
              </w:tabs>
              <w:jc w:val="center"/>
              <w:rPr>
                <w:b/>
                <w:sz w:val="24"/>
              </w:rPr>
            </w:pPr>
            <w:r>
              <w:rPr>
                <w:b/>
                <w:sz w:val="24"/>
              </w:rPr>
              <w:t>2005</w:t>
            </w:r>
          </w:p>
        </w:tc>
        <w:tc>
          <w:tcPr>
            <w:tcW w:w="1080" w:type="dxa"/>
            <w:tcBorders>
              <w:bottom w:val="nil"/>
              <w:right w:val="single" w:sz="8" w:space="0" w:color="auto"/>
            </w:tcBorders>
            <w:shd w:val="pct12" w:color="auto" w:fill="FFFFFF"/>
            <w:vAlign w:val="center"/>
          </w:tcPr>
          <w:p w:rsidR="00000000" w:rsidRDefault="00C40079">
            <w:pPr>
              <w:tabs>
                <w:tab w:val="left" w:pos="720"/>
                <w:tab w:val="left" w:pos="1080"/>
                <w:tab w:val="left" w:pos="1440"/>
                <w:tab w:val="left" w:pos="1800"/>
                <w:tab w:val="left" w:pos="2160"/>
              </w:tabs>
              <w:jc w:val="center"/>
              <w:rPr>
                <w:b/>
                <w:sz w:val="24"/>
              </w:rPr>
            </w:pPr>
            <w:r>
              <w:rPr>
                <w:b/>
                <w:sz w:val="24"/>
              </w:rPr>
              <w:t>2007</w:t>
            </w:r>
          </w:p>
        </w:tc>
        <w:tc>
          <w:tcPr>
            <w:tcW w:w="1260" w:type="dxa"/>
            <w:tcBorders>
              <w:left w:val="nil"/>
              <w:bottom w:val="nil"/>
            </w:tcBorders>
            <w:shd w:val="pct12" w:color="auto" w:fill="FFFFFF"/>
            <w:vAlign w:val="center"/>
          </w:tcPr>
          <w:p w:rsidR="00000000" w:rsidRDefault="00C40079">
            <w:pPr>
              <w:tabs>
                <w:tab w:val="left" w:pos="720"/>
                <w:tab w:val="left" w:pos="1080"/>
                <w:tab w:val="left" w:pos="1440"/>
                <w:tab w:val="left" w:pos="1800"/>
                <w:tab w:val="left" w:pos="2160"/>
              </w:tabs>
              <w:jc w:val="center"/>
              <w:rPr>
                <w:b/>
                <w:sz w:val="24"/>
              </w:rPr>
            </w:pPr>
            <w:r>
              <w:rPr>
                <w:b/>
                <w:sz w:val="24"/>
              </w:rPr>
              <w:t>2005</w:t>
            </w:r>
          </w:p>
        </w:tc>
        <w:tc>
          <w:tcPr>
            <w:tcW w:w="1080" w:type="dxa"/>
            <w:tcBorders>
              <w:bottom w:val="nil"/>
            </w:tcBorders>
            <w:shd w:val="pct12" w:color="auto" w:fill="FFFFFF"/>
            <w:vAlign w:val="center"/>
          </w:tcPr>
          <w:p w:rsidR="00000000" w:rsidRDefault="00C40079">
            <w:pPr>
              <w:tabs>
                <w:tab w:val="left" w:pos="720"/>
                <w:tab w:val="left" w:pos="1080"/>
                <w:tab w:val="left" w:pos="1440"/>
                <w:tab w:val="left" w:pos="1800"/>
                <w:tab w:val="left" w:pos="2160"/>
              </w:tabs>
              <w:jc w:val="center"/>
              <w:rPr>
                <w:b/>
                <w:sz w:val="24"/>
              </w:rPr>
            </w:pPr>
            <w:r>
              <w:rPr>
                <w:b/>
                <w:sz w:val="24"/>
              </w:rPr>
              <w:t>2007</w:t>
            </w:r>
          </w:p>
        </w:tc>
      </w:tr>
      <w:tr w:rsidR="00000000">
        <w:tblPrEx>
          <w:tblCellMar>
            <w:top w:w="0" w:type="dxa"/>
            <w:bottom w:w="0" w:type="dxa"/>
          </w:tblCellMar>
        </w:tblPrEx>
        <w:trPr>
          <w:cantSplit/>
          <w:trHeight w:val="1000"/>
        </w:trPr>
        <w:tc>
          <w:tcPr>
            <w:tcW w:w="1800" w:type="dxa"/>
            <w:vMerge w:val="restart"/>
            <w:tcBorders>
              <w:top w:val="double" w:sz="4" w:space="0" w:color="auto"/>
              <w:right w:val="single" w:sz="8" w:space="0" w:color="auto"/>
            </w:tcBorders>
            <w:vAlign w:val="center"/>
          </w:tcPr>
          <w:p w:rsidR="00000000" w:rsidRDefault="00C40079">
            <w:pPr>
              <w:tabs>
                <w:tab w:val="left" w:pos="360"/>
                <w:tab w:val="left" w:pos="720"/>
                <w:tab w:val="left" w:pos="1080"/>
                <w:tab w:val="left" w:pos="1440"/>
                <w:tab w:val="left" w:pos="1800"/>
                <w:tab w:val="left" w:pos="2160"/>
              </w:tabs>
              <w:jc w:val="center"/>
              <w:rPr>
                <w:sz w:val="24"/>
              </w:rPr>
            </w:pPr>
            <w:r>
              <w:rPr>
                <w:sz w:val="24"/>
              </w:rPr>
              <w:t>North Jersey Transportation</w:t>
            </w:r>
          </w:p>
          <w:p w:rsidR="00000000" w:rsidRDefault="00C40079">
            <w:pPr>
              <w:tabs>
                <w:tab w:val="left" w:pos="360"/>
                <w:tab w:val="left" w:pos="720"/>
                <w:tab w:val="left" w:pos="1080"/>
                <w:tab w:val="left" w:pos="1440"/>
                <w:tab w:val="left" w:pos="1800"/>
                <w:tab w:val="left" w:pos="2160"/>
              </w:tabs>
              <w:jc w:val="center"/>
              <w:rPr>
                <w:sz w:val="24"/>
              </w:rPr>
            </w:pPr>
            <w:r>
              <w:rPr>
                <w:sz w:val="24"/>
              </w:rPr>
              <w:t>Planning Authority</w:t>
            </w:r>
          </w:p>
          <w:p w:rsidR="00000000" w:rsidRDefault="00C40079">
            <w:pPr>
              <w:tabs>
                <w:tab w:val="left" w:pos="360"/>
                <w:tab w:val="left" w:pos="720"/>
                <w:tab w:val="left" w:pos="1080"/>
                <w:tab w:val="left" w:pos="1440"/>
                <w:tab w:val="left" w:pos="1800"/>
                <w:tab w:val="left" w:pos="2160"/>
              </w:tabs>
              <w:jc w:val="center"/>
              <w:rPr>
                <w:sz w:val="24"/>
              </w:rPr>
            </w:pPr>
          </w:p>
        </w:tc>
        <w:tc>
          <w:tcPr>
            <w:tcW w:w="1260" w:type="dxa"/>
            <w:tcBorders>
              <w:top w:val="double" w:sz="4" w:space="0" w:color="auto"/>
              <w:left w:val="nil"/>
              <w:right w:val="single" w:sz="8"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Prior</w:t>
            </w:r>
          </w:p>
        </w:tc>
        <w:tc>
          <w:tcPr>
            <w:tcW w:w="1080" w:type="dxa"/>
            <w:tcBorders>
              <w:top w:val="double" w:sz="4" w:space="0" w:color="auto"/>
              <w:left w:val="nil"/>
            </w:tcBorders>
            <w:vAlign w:val="center"/>
          </w:tcPr>
          <w:p w:rsidR="00000000" w:rsidRDefault="00C40079">
            <w:pPr>
              <w:tabs>
                <w:tab w:val="left" w:pos="720"/>
                <w:tab w:val="left" w:pos="1080"/>
                <w:tab w:val="left" w:pos="1440"/>
                <w:tab w:val="left" w:pos="1800"/>
                <w:tab w:val="left" w:pos="2160"/>
              </w:tabs>
              <w:jc w:val="center"/>
              <w:rPr>
                <w:sz w:val="24"/>
              </w:rPr>
            </w:pPr>
            <w:r>
              <w:rPr>
                <w:sz w:val="24"/>
              </w:rPr>
              <w:t>1,550.74</w:t>
            </w:r>
          </w:p>
        </w:tc>
        <w:tc>
          <w:tcPr>
            <w:tcW w:w="900" w:type="dxa"/>
            <w:tcBorders>
              <w:top w:val="double" w:sz="4" w:space="0" w:color="auto"/>
              <w:bottom w:val="single" w:sz="4"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783.39</w:t>
            </w:r>
          </w:p>
        </w:tc>
        <w:tc>
          <w:tcPr>
            <w:tcW w:w="900" w:type="dxa"/>
            <w:tcBorders>
              <w:top w:val="double" w:sz="4" w:space="0" w:color="auto"/>
              <w:right w:val="single" w:sz="8"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605.63</w:t>
            </w:r>
          </w:p>
        </w:tc>
        <w:tc>
          <w:tcPr>
            <w:tcW w:w="1260" w:type="dxa"/>
            <w:tcBorders>
              <w:top w:val="double" w:sz="4" w:space="0" w:color="auto"/>
              <w:left w:val="nil"/>
            </w:tcBorders>
            <w:vAlign w:val="center"/>
          </w:tcPr>
          <w:p w:rsidR="00000000" w:rsidRDefault="00C40079">
            <w:pPr>
              <w:tabs>
                <w:tab w:val="left" w:pos="720"/>
                <w:tab w:val="left" w:pos="1080"/>
                <w:tab w:val="left" w:pos="1440"/>
                <w:tab w:val="left" w:pos="1800"/>
                <w:tab w:val="left" w:pos="2160"/>
              </w:tabs>
              <w:jc w:val="center"/>
              <w:rPr>
                <w:sz w:val="24"/>
              </w:rPr>
            </w:pPr>
            <w:r>
              <w:rPr>
                <w:sz w:val="24"/>
              </w:rPr>
              <w:t>148.27</w:t>
            </w:r>
          </w:p>
        </w:tc>
        <w:tc>
          <w:tcPr>
            <w:tcW w:w="1080" w:type="dxa"/>
            <w:tcBorders>
              <w:top w:val="double" w:sz="4" w:space="0" w:color="auto"/>
              <w:right w:val="single" w:sz="8"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125.82</w:t>
            </w:r>
          </w:p>
        </w:tc>
        <w:tc>
          <w:tcPr>
            <w:tcW w:w="1260" w:type="dxa"/>
            <w:tcBorders>
              <w:top w:val="double" w:sz="4" w:space="0" w:color="auto"/>
              <w:left w:val="nil"/>
            </w:tcBorders>
            <w:vAlign w:val="center"/>
          </w:tcPr>
          <w:p w:rsidR="00000000" w:rsidRDefault="00C40079">
            <w:pPr>
              <w:tabs>
                <w:tab w:val="left" w:pos="720"/>
                <w:tab w:val="left" w:pos="1080"/>
                <w:tab w:val="left" w:pos="1440"/>
                <w:tab w:val="left" w:pos="1800"/>
                <w:tab w:val="left" w:pos="2160"/>
              </w:tabs>
              <w:jc w:val="center"/>
              <w:rPr>
                <w:sz w:val="24"/>
                <w:vertAlign w:val="superscript"/>
              </w:rPr>
            </w:pPr>
            <w:r>
              <w:rPr>
                <w:sz w:val="24"/>
              </w:rPr>
              <w:t>253.05</w:t>
            </w:r>
          </w:p>
        </w:tc>
        <w:tc>
          <w:tcPr>
            <w:tcW w:w="1080" w:type="dxa"/>
            <w:tcBorders>
              <w:top w:val="double" w:sz="4" w:space="0" w:color="auto"/>
            </w:tcBorders>
            <w:vAlign w:val="center"/>
          </w:tcPr>
          <w:p w:rsidR="00000000" w:rsidRDefault="00C40079">
            <w:pPr>
              <w:tabs>
                <w:tab w:val="left" w:pos="720"/>
                <w:tab w:val="left" w:pos="1080"/>
                <w:tab w:val="left" w:pos="1440"/>
                <w:tab w:val="left" w:pos="1800"/>
                <w:tab w:val="left" w:pos="2160"/>
              </w:tabs>
              <w:jc w:val="center"/>
              <w:rPr>
                <w:sz w:val="24"/>
                <w:vertAlign w:val="superscript"/>
              </w:rPr>
            </w:pPr>
            <w:r>
              <w:rPr>
                <w:sz w:val="24"/>
              </w:rPr>
              <w:t>198.34</w:t>
            </w:r>
          </w:p>
        </w:tc>
      </w:tr>
      <w:tr w:rsidR="00000000">
        <w:tblPrEx>
          <w:tblCellMar>
            <w:top w:w="0" w:type="dxa"/>
            <w:bottom w:w="0" w:type="dxa"/>
          </w:tblCellMar>
        </w:tblPrEx>
        <w:trPr>
          <w:cantSplit/>
          <w:trHeight w:val="1000"/>
        </w:trPr>
        <w:tc>
          <w:tcPr>
            <w:tcW w:w="1800" w:type="dxa"/>
            <w:vMerge/>
            <w:tcBorders>
              <w:bottom w:val="double" w:sz="4" w:space="0" w:color="auto"/>
              <w:right w:val="single" w:sz="8" w:space="0" w:color="auto"/>
            </w:tcBorders>
            <w:vAlign w:val="center"/>
          </w:tcPr>
          <w:p w:rsidR="00000000" w:rsidRDefault="00C40079">
            <w:pPr>
              <w:tabs>
                <w:tab w:val="left" w:pos="360"/>
                <w:tab w:val="left" w:pos="720"/>
                <w:tab w:val="left" w:pos="1080"/>
                <w:tab w:val="left" w:pos="1440"/>
                <w:tab w:val="left" w:pos="1800"/>
                <w:tab w:val="left" w:pos="2160"/>
              </w:tabs>
              <w:jc w:val="center"/>
              <w:rPr>
                <w:sz w:val="24"/>
              </w:rPr>
            </w:pPr>
          </w:p>
        </w:tc>
        <w:tc>
          <w:tcPr>
            <w:tcW w:w="1260" w:type="dxa"/>
            <w:tcBorders>
              <w:left w:val="nil"/>
              <w:bottom w:val="double" w:sz="4" w:space="0" w:color="auto"/>
              <w:right w:val="single" w:sz="8" w:space="0" w:color="auto"/>
            </w:tcBorders>
            <w:vAlign w:val="center"/>
          </w:tcPr>
          <w:p w:rsidR="00000000" w:rsidRDefault="00C40079">
            <w:pPr>
              <w:tabs>
                <w:tab w:val="left" w:pos="720"/>
                <w:tab w:val="left" w:pos="1080"/>
                <w:tab w:val="left" w:pos="1440"/>
                <w:tab w:val="left" w:pos="1800"/>
                <w:tab w:val="left" w:pos="2160"/>
              </w:tabs>
              <w:jc w:val="center"/>
              <w:rPr>
                <w:rFonts w:ascii="Times New (W1)" w:hAnsi="Times New (W1)"/>
                <w:sz w:val="24"/>
                <w:vertAlign w:val="superscript"/>
              </w:rPr>
            </w:pPr>
            <w:r>
              <w:rPr>
                <w:sz w:val="24"/>
              </w:rPr>
              <w:t>Updated</w:t>
            </w:r>
            <w:r>
              <w:rPr>
                <w:rFonts w:ascii="Times New (W1)" w:hAnsi="Times New (W1)"/>
                <w:sz w:val="24"/>
                <w:vertAlign w:val="superscript"/>
              </w:rPr>
              <w:t>(3)</w:t>
            </w:r>
          </w:p>
        </w:tc>
        <w:tc>
          <w:tcPr>
            <w:tcW w:w="1080" w:type="dxa"/>
            <w:tcBorders>
              <w:left w:val="nil"/>
              <w:bottom w:val="double" w:sz="4"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Not Updated</w:t>
            </w:r>
          </w:p>
        </w:tc>
        <w:tc>
          <w:tcPr>
            <w:tcW w:w="900" w:type="dxa"/>
            <w:tcBorders>
              <w:top w:val="nil"/>
              <w:bottom w:val="double" w:sz="4"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1,150</w:t>
            </w:r>
          </w:p>
        </w:tc>
        <w:tc>
          <w:tcPr>
            <w:tcW w:w="900" w:type="dxa"/>
            <w:tcBorders>
              <w:bottom w:val="double" w:sz="4" w:space="0" w:color="auto"/>
              <w:right w:val="single" w:sz="8"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899</w:t>
            </w:r>
          </w:p>
        </w:tc>
        <w:tc>
          <w:tcPr>
            <w:tcW w:w="1260" w:type="dxa"/>
            <w:tcBorders>
              <w:left w:val="nil"/>
              <w:bottom w:val="double" w:sz="4"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146.33</w:t>
            </w:r>
          </w:p>
        </w:tc>
        <w:tc>
          <w:tcPr>
            <w:tcW w:w="1080" w:type="dxa"/>
            <w:tcBorders>
              <w:bottom w:val="double" w:sz="4" w:space="0" w:color="auto"/>
              <w:right w:val="single" w:sz="8"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122.53</w:t>
            </w:r>
          </w:p>
        </w:tc>
        <w:tc>
          <w:tcPr>
            <w:tcW w:w="1260" w:type="dxa"/>
            <w:tcBorders>
              <w:left w:val="nil"/>
              <w:bottom w:val="double" w:sz="4"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327.83</w:t>
            </w:r>
          </w:p>
        </w:tc>
        <w:tc>
          <w:tcPr>
            <w:tcW w:w="1080" w:type="dxa"/>
            <w:tcBorders>
              <w:bottom w:val="double" w:sz="4"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256.58</w:t>
            </w:r>
          </w:p>
        </w:tc>
      </w:tr>
    </w:tbl>
    <w:p w:rsidR="00000000" w:rsidRDefault="00C40079">
      <w:pPr>
        <w:pStyle w:val="Level2"/>
        <w:tabs>
          <w:tab w:val="left" w:pos="720"/>
          <w:tab w:val="left" w:pos="1080"/>
          <w:tab w:val="left" w:pos="1440"/>
          <w:tab w:val="left" w:pos="1800"/>
          <w:tab w:val="left" w:pos="2160"/>
        </w:tabs>
        <w:rPr>
          <w:sz w:val="22"/>
        </w:rPr>
      </w:pPr>
      <w:r>
        <w:rPr>
          <w:sz w:val="22"/>
        </w:rPr>
        <w:t>NOTES:</w:t>
      </w:r>
    </w:p>
    <w:p w:rsidR="00000000" w:rsidRDefault="00C40079">
      <w:pPr>
        <w:pStyle w:val="Level2"/>
        <w:numPr>
          <w:ilvl w:val="0"/>
          <w:numId w:val="25"/>
        </w:numPr>
        <w:tabs>
          <w:tab w:val="left" w:pos="720"/>
          <w:tab w:val="left" w:pos="1080"/>
          <w:tab w:val="left" w:pos="1440"/>
          <w:tab w:val="left" w:pos="1800"/>
          <w:tab w:val="left" w:pos="2160"/>
        </w:tabs>
        <w:rPr>
          <w:sz w:val="22"/>
        </w:rPr>
      </w:pPr>
      <w:r>
        <w:rPr>
          <w:sz w:val="22"/>
        </w:rPr>
        <w:t>For Passaic, Bergen, Essex, Hudso</w:t>
      </w:r>
      <w:r>
        <w:rPr>
          <w:sz w:val="22"/>
        </w:rPr>
        <w:t>n and Union counties.</w:t>
      </w:r>
    </w:p>
    <w:p w:rsidR="00000000" w:rsidRDefault="00C40079">
      <w:pPr>
        <w:pStyle w:val="Level2"/>
        <w:numPr>
          <w:ilvl w:val="0"/>
          <w:numId w:val="25"/>
        </w:numPr>
        <w:tabs>
          <w:tab w:val="left" w:pos="720"/>
          <w:tab w:val="left" w:pos="1080"/>
          <w:tab w:val="left" w:pos="1440"/>
          <w:tab w:val="left" w:pos="1800"/>
          <w:tab w:val="left" w:pos="2160"/>
        </w:tabs>
        <w:rPr>
          <w:sz w:val="22"/>
        </w:rPr>
      </w:pPr>
      <w:r>
        <w:rPr>
          <w:sz w:val="22"/>
        </w:rPr>
        <w:t>For all counties within the Metropolitan Planning Organization.</w:t>
      </w:r>
    </w:p>
    <w:p w:rsidR="00000000" w:rsidRDefault="00C40079">
      <w:pPr>
        <w:pStyle w:val="Level2"/>
        <w:numPr>
          <w:ilvl w:val="0"/>
          <w:numId w:val="25"/>
        </w:numPr>
        <w:tabs>
          <w:tab w:val="left" w:pos="720"/>
          <w:tab w:val="left" w:pos="1080"/>
          <w:tab w:val="left" w:pos="1440"/>
          <w:tab w:val="left" w:pos="1800"/>
          <w:tab w:val="left" w:pos="2160"/>
        </w:tabs>
        <w:rPr>
          <w:sz w:val="22"/>
        </w:rPr>
      </w:pPr>
      <w:r>
        <w:rPr>
          <w:sz w:val="22"/>
        </w:rPr>
        <w:t xml:space="preserve">Even though a number of the updated budgets are greater that the prior budgets, the maintenance SIP for carbon monoxide continues to demonstrate maintenance of the NAAQS </w:t>
      </w:r>
      <w:r>
        <w:rPr>
          <w:sz w:val="22"/>
        </w:rPr>
        <w:t xml:space="preserve">and the attainment SIP for ozone continues to demonstrate attainment of the NAAQS as discussed in the subsequent subsections of the text. </w:t>
      </w:r>
    </w:p>
    <w:p w:rsidR="00000000" w:rsidRDefault="00C40079">
      <w:pPr>
        <w:pStyle w:val="Level2"/>
        <w:widowControl/>
        <w:tabs>
          <w:tab w:val="left" w:pos="720"/>
          <w:tab w:val="left" w:pos="1080"/>
          <w:tab w:val="left" w:pos="1440"/>
          <w:tab w:val="left" w:pos="1800"/>
          <w:tab w:val="left" w:pos="2160"/>
        </w:tabs>
        <w:rPr>
          <w:u w:val="single"/>
        </w:rPr>
      </w:pPr>
    </w:p>
    <w:p w:rsidR="00000000" w:rsidRDefault="00C40079">
      <w:pPr>
        <w:pStyle w:val="Level2"/>
        <w:widowControl/>
        <w:tabs>
          <w:tab w:val="left" w:pos="720"/>
          <w:tab w:val="left" w:pos="1080"/>
          <w:tab w:val="left" w:pos="1440"/>
          <w:tab w:val="left" w:pos="1800"/>
          <w:tab w:val="left" w:pos="2160"/>
        </w:tabs>
        <w:rPr>
          <w:u w:val="single"/>
        </w:rPr>
      </w:pPr>
      <w:r>
        <w:rPr>
          <w:u w:val="single"/>
        </w:rPr>
        <w:t>Carbon Monoxide Budgets</w:t>
      </w:r>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widowControl/>
        <w:tabs>
          <w:tab w:val="left" w:pos="720"/>
          <w:tab w:val="left" w:pos="1080"/>
          <w:tab w:val="left" w:pos="1440"/>
          <w:tab w:val="left" w:pos="1800"/>
          <w:tab w:val="left" w:pos="2160"/>
        </w:tabs>
      </w:pPr>
      <w:r>
        <w:t xml:space="preserve">The carbon monoxide budgets for the five New Jersey counties in the New York City/Northern </w:t>
      </w:r>
      <w:r>
        <w:t xml:space="preserve">New Jersey/Long Island carbon monoxide maintenance area are proposed to be updated to </w:t>
      </w:r>
      <w:r>
        <w:lastRenderedPageBreak/>
        <w:t>incorporate the “margin of safety” provisions of the USEPA’s transportation conformity rule.</w:t>
      </w:r>
      <w:r>
        <w:rPr>
          <w:rStyle w:val="FootnoteReference"/>
          <w:sz w:val="20"/>
          <w:vertAlign w:val="superscript"/>
        </w:rPr>
        <w:footnoteReference w:id="12"/>
      </w:r>
      <w:r>
        <w:t xml:space="preserve"> The safety margin is the difference between the attainment year total emissi</w:t>
      </w:r>
      <w:r>
        <w:t>ons and future year total emissions. The rule</w:t>
      </w:r>
      <w:r>
        <w:rPr>
          <w:rStyle w:val="FootnoteReference"/>
          <w:vertAlign w:val="superscript"/>
        </w:rPr>
        <w:footnoteReference w:id="13"/>
      </w:r>
      <w:r>
        <w:t xml:space="preserve"> indicates that when the projected emissions from all sources are less than the total emissions that would be consistent with attainment, the SIP may explicitly quantify a safety margin and include some or all </w:t>
      </w:r>
      <w:r>
        <w:t>of it in the motor vehicle emission budget for purposes of conformity. Table III shows the 1996 attainment emission inventory and future projection emission inventories.  Tables I and II include the margins of safety.</w:t>
      </w:r>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widowControl/>
        <w:tabs>
          <w:tab w:val="left" w:pos="720"/>
          <w:tab w:val="left" w:pos="1080"/>
          <w:tab w:val="left" w:pos="1440"/>
          <w:tab w:val="left" w:pos="1800"/>
          <w:tab w:val="left" w:pos="2160"/>
        </w:tabs>
      </w:pPr>
      <w:r>
        <w:t>Note that even though only the munici</w:t>
      </w:r>
      <w:r>
        <w:t>palities of Clifton, Passaic, and Paterson in Passaic County are in the maintenance area, the entire Passaic County is included in the area budget because this is how prior budgets were established.  These inventories are from the 2002 USEPA approved maint</w:t>
      </w:r>
      <w:r>
        <w:t>enance plan.</w:t>
      </w:r>
      <w:r>
        <w:rPr>
          <w:rStyle w:val="FootnoteReference"/>
          <w:sz w:val="20"/>
          <w:vertAlign w:val="superscript"/>
        </w:rPr>
        <w:footnoteReference w:id="14"/>
      </w:r>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widowControl/>
        <w:tabs>
          <w:tab w:val="left" w:pos="720"/>
          <w:tab w:val="left" w:pos="1080"/>
          <w:tab w:val="left" w:pos="1440"/>
          <w:tab w:val="left" w:pos="1800"/>
          <w:tab w:val="left" w:pos="2160"/>
        </w:tabs>
      </w:pPr>
      <w:r>
        <w:t xml:space="preserve">Table IV and Table V show the calculation of the updated 2007 and 2014 budgets, respectively. It should be noted that 1996 statewide levels of carbon monoxide were measured to be only about 75 percent (maximum second highest 8-hour average) </w:t>
      </w:r>
      <w:r>
        <w:t>of the carbon monoxide 8-hour NAAQS monitored in the area as shown in Figure II.  Also, for monitors within the New Jersey portion of the New York/New Jersey/Long Island carbon monoxide maintenance area, the maximum second highest 8-hour average carbon mon</w:t>
      </w:r>
      <w:r>
        <w:t>oxide levels were all below 7.0 parts per million (NAAQS is 9.0 parts per million). Therefore, the 1996 inventory represents carbon monoxide emission levels that are likely significantly lower than the minimum levels required to achieve attainment of the N</w:t>
      </w:r>
      <w:r>
        <w:t>AAQS resulting in conservatively lower carbon monoxide budgets.  Additional information concerning historical measurements of carbon monoxide levels in New Jersey are provided in the carbon monoxide Limited Maintenance Plan section of this SIP revision, Se</w:t>
      </w:r>
      <w:r>
        <w:t>ction III.</w:t>
      </w:r>
    </w:p>
    <w:p w:rsidR="00000000" w:rsidRDefault="00C40079">
      <w:pPr>
        <w:pStyle w:val="Level2"/>
        <w:tabs>
          <w:tab w:val="left" w:pos="720"/>
          <w:tab w:val="left" w:pos="1080"/>
          <w:tab w:val="left" w:pos="1440"/>
          <w:tab w:val="left" w:pos="1800"/>
          <w:tab w:val="left" w:pos="2160"/>
        </w:tabs>
        <w:jc w:val="center"/>
        <w:rPr>
          <w:b/>
        </w:rPr>
      </w:pPr>
      <w:bookmarkStart w:id="96" w:name="Table_III"/>
      <w:bookmarkStart w:id="97" w:name="_Hlt126641862"/>
      <w:bookmarkEnd w:id="97"/>
      <w:r>
        <w:rPr>
          <w:b/>
        </w:rPr>
        <w:t>Table III</w:t>
      </w:r>
      <w:bookmarkEnd w:id="96"/>
    </w:p>
    <w:p w:rsidR="00000000" w:rsidRDefault="00C40079">
      <w:pPr>
        <w:pStyle w:val="Level2"/>
        <w:tabs>
          <w:tab w:val="left" w:pos="720"/>
          <w:tab w:val="left" w:pos="1080"/>
          <w:tab w:val="left" w:pos="1440"/>
          <w:tab w:val="left" w:pos="1800"/>
          <w:tab w:val="left" w:pos="2160"/>
        </w:tabs>
        <w:jc w:val="center"/>
        <w:rPr>
          <w:b/>
        </w:rPr>
      </w:pPr>
      <w:r>
        <w:rPr>
          <w:b/>
        </w:rPr>
        <w:t xml:space="preserve">Maintenance Plan Inventories for the New Jersey Portion of the </w:t>
      </w:r>
    </w:p>
    <w:p w:rsidR="00000000" w:rsidRDefault="00C40079">
      <w:pPr>
        <w:pStyle w:val="Level2"/>
        <w:tabs>
          <w:tab w:val="left" w:pos="720"/>
          <w:tab w:val="left" w:pos="1080"/>
          <w:tab w:val="left" w:pos="1440"/>
          <w:tab w:val="left" w:pos="1800"/>
          <w:tab w:val="left" w:pos="2160"/>
        </w:tabs>
        <w:jc w:val="center"/>
        <w:rPr>
          <w:b/>
        </w:rPr>
      </w:pPr>
      <w:r>
        <w:rPr>
          <w:b/>
        </w:rPr>
        <w:t>New York City/Northern New Jersey/Long Island Carbon Monoxide Nonattainment Area</w:t>
      </w:r>
    </w:p>
    <w:p w:rsidR="00000000" w:rsidRDefault="00C40079">
      <w:pPr>
        <w:pStyle w:val="Level2"/>
        <w:widowControl/>
        <w:tabs>
          <w:tab w:val="left" w:pos="720"/>
          <w:tab w:val="left" w:pos="1080"/>
          <w:tab w:val="left" w:pos="1440"/>
          <w:tab w:val="left" w:pos="1800"/>
          <w:tab w:val="left" w:pos="2160"/>
        </w:tabs>
      </w:pPr>
    </w:p>
    <w:tbl>
      <w:tblPr>
        <w:tblW w:w="0" w:type="auto"/>
        <w:tblInd w:w="108"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2160"/>
        <w:gridCol w:w="2520"/>
        <w:gridCol w:w="2520"/>
        <w:gridCol w:w="2160"/>
      </w:tblGrid>
      <w:tr w:rsidR="00000000">
        <w:tblPrEx>
          <w:tblCellMar>
            <w:top w:w="0" w:type="dxa"/>
            <w:bottom w:w="0" w:type="dxa"/>
          </w:tblCellMar>
        </w:tblPrEx>
        <w:trPr>
          <w:cantSplit/>
          <w:trHeight w:val="50"/>
        </w:trPr>
        <w:tc>
          <w:tcPr>
            <w:tcW w:w="2160" w:type="dxa"/>
            <w:vMerge w:val="restart"/>
            <w:tcBorders>
              <w:top w:val="double" w:sz="4" w:space="0" w:color="auto"/>
              <w:bottom w:val="double" w:sz="4" w:space="0" w:color="auto"/>
              <w:right w:val="single" w:sz="12" w:space="0" w:color="auto"/>
            </w:tcBorders>
            <w:shd w:val="pct12" w:color="auto" w:fill="FFFFFF"/>
          </w:tcPr>
          <w:p w:rsidR="00000000" w:rsidRDefault="00C40079">
            <w:pPr>
              <w:pStyle w:val="Heading4"/>
              <w:numPr>
                <w:ilvl w:val="0"/>
                <w:numId w:val="0"/>
              </w:numPr>
              <w:tabs>
                <w:tab w:val="left" w:pos="720"/>
                <w:tab w:val="left" w:pos="1080"/>
                <w:tab w:val="left" w:pos="1440"/>
                <w:tab w:val="left" w:pos="1800"/>
                <w:tab w:val="left" w:pos="2160"/>
              </w:tabs>
              <w:jc w:val="center"/>
            </w:pPr>
          </w:p>
          <w:p w:rsidR="00000000" w:rsidRDefault="00C40079">
            <w:pPr>
              <w:pStyle w:val="Heading4"/>
              <w:numPr>
                <w:ilvl w:val="0"/>
                <w:numId w:val="0"/>
              </w:numPr>
              <w:tabs>
                <w:tab w:val="left" w:pos="720"/>
                <w:tab w:val="left" w:pos="1080"/>
                <w:tab w:val="left" w:pos="1440"/>
                <w:tab w:val="left" w:pos="1800"/>
                <w:tab w:val="left" w:pos="2160"/>
              </w:tabs>
              <w:jc w:val="center"/>
            </w:pPr>
          </w:p>
          <w:p w:rsidR="00000000" w:rsidRDefault="00C40079">
            <w:pPr>
              <w:pStyle w:val="Heading4"/>
              <w:numPr>
                <w:ilvl w:val="0"/>
                <w:numId w:val="0"/>
              </w:numPr>
              <w:tabs>
                <w:tab w:val="left" w:pos="720"/>
                <w:tab w:val="left" w:pos="1080"/>
                <w:tab w:val="left" w:pos="1440"/>
                <w:tab w:val="left" w:pos="1800"/>
                <w:tab w:val="left" w:pos="2160"/>
              </w:tabs>
              <w:jc w:val="center"/>
            </w:pPr>
            <w:r>
              <w:t>County</w:t>
            </w:r>
          </w:p>
        </w:tc>
        <w:tc>
          <w:tcPr>
            <w:tcW w:w="7200" w:type="dxa"/>
            <w:gridSpan w:val="3"/>
            <w:tcBorders>
              <w:top w:val="double" w:sz="4" w:space="0" w:color="auto"/>
              <w:left w:val="nil"/>
              <w:bottom w:val="nil"/>
            </w:tcBorders>
            <w:shd w:val="pct15" w:color="auto" w:fill="auto"/>
          </w:tcPr>
          <w:p w:rsidR="00000000" w:rsidRDefault="00C40079">
            <w:pPr>
              <w:tabs>
                <w:tab w:val="left" w:pos="720"/>
                <w:tab w:val="left" w:pos="1080"/>
                <w:tab w:val="left" w:pos="1440"/>
                <w:tab w:val="left" w:pos="1800"/>
                <w:tab w:val="left" w:pos="2160"/>
              </w:tabs>
              <w:jc w:val="center"/>
              <w:rPr>
                <w:b/>
                <w:sz w:val="24"/>
              </w:rPr>
            </w:pPr>
            <w:r>
              <w:rPr>
                <w:b/>
                <w:sz w:val="24"/>
              </w:rPr>
              <w:t>New Jersey Portion of the New York City/Northern New Jersey/Long Island Carbon M</w:t>
            </w:r>
            <w:r>
              <w:rPr>
                <w:b/>
                <w:sz w:val="24"/>
              </w:rPr>
              <w:t>onoxide Area - Carbon Monoxide Emissions in Tons Per Winter Season Day</w:t>
            </w:r>
          </w:p>
        </w:tc>
      </w:tr>
      <w:tr w:rsidR="00000000">
        <w:tblPrEx>
          <w:tblCellMar>
            <w:top w:w="0" w:type="dxa"/>
            <w:bottom w:w="0" w:type="dxa"/>
          </w:tblCellMar>
        </w:tblPrEx>
        <w:trPr>
          <w:cantSplit/>
          <w:trHeight w:val="46"/>
        </w:trPr>
        <w:tc>
          <w:tcPr>
            <w:tcW w:w="2160" w:type="dxa"/>
            <w:vMerge/>
            <w:tcBorders>
              <w:top w:val="double" w:sz="4" w:space="0" w:color="auto"/>
              <w:bottom w:val="double" w:sz="4" w:space="0" w:color="auto"/>
              <w:right w:val="nil"/>
            </w:tcBorders>
          </w:tcPr>
          <w:p w:rsidR="00000000" w:rsidRDefault="00C40079">
            <w:pPr>
              <w:tabs>
                <w:tab w:val="left" w:pos="720"/>
                <w:tab w:val="left" w:pos="1080"/>
                <w:tab w:val="left" w:pos="1440"/>
                <w:tab w:val="left" w:pos="1800"/>
                <w:tab w:val="left" w:pos="2160"/>
              </w:tabs>
              <w:jc w:val="center"/>
              <w:rPr>
                <w:sz w:val="24"/>
              </w:rPr>
            </w:pPr>
          </w:p>
        </w:tc>
        <w:tc>
          <w:tcPr>
            <w:tcW w:w="2520" w:type="dxa"/>
            <w:tcBorders>
              <w:top w:val="single" w:sz="4" w:space="0" w:color="auto"/>
              <w:left w:val="single" w:sz="12" w:space="0" w:color="auto"/>
              <w:bottom w:val="double" w:sz="4" w:space="0" w:color="auto"/>
              <w:right w:val="single" w:sz="12" w:space="0" w:color="auto"/>
            </w:tcBorders>
            <w:shd w:val="pct20" w:color="auto" w:fill="FFFFFF"/>
          </w:tcPr>
          <w:p w:rsidR="00000000" w:rsidRDefault="00C40079">
            <w:pPr>
              <w:tabs>
                <w:tab w:val="left" w:pos="720"/>
                <w:tab w:val="left" w:pos="1080"/>
                <w:tab w:val="left" w:pos="1440"/>
                <w:tab w:val="left" w:pos="1800"/>
                <w:tab w:val="left" w:pos="2160"/>
              </w:tabs>
              <w:jc w:val="center"/>
              <w:rPr>
                <w:b/>
                <w:sz w:val="24"/>
              </w:rPr>
            </w:pPr>
            <w:r>
              <w:rPr>
                <w:b/>
                <w:sz w:val="24"/>
              </w:rPr>
              <w:t>1996</w:t>
            </w:r>
          </w:p>
          <w:p w:rsidR="00000000" w:rsidRDefault="00C40079">
            <w:pPr>
              <w:tabs>
                <w:tab w:val="left" w:pos="720"/>
                <w:tab w:val="left" w:pos="1080"/>
                <w:tab w:val="left" w:pos="1440"/>
                <w:tab w:val="left" w:pos="1800"/>
                <w:tab w:val="left" w:pos="2160"/>
              </w:tabs>
              <w:jc w:val="center"/>
              <w:rPr>
                <w:b/>
                <w:sz w:val="24"/>
              </w:rPr>
            </w:pPr>
            <w:r>
              <w:rPr>
                <w:b/>
                <w:sz w:val="24"/>
              </w:rPr>
              <w:t>(Attainment Year)</w:t>
            </w:r>
          </w:p>
        </w:tc>
        <w:tc>
          <w:tcPr>
            <w:tcW w:w="2520" w:type="dxa"/>
            <w:tcBorders>
              <w:top w:val="single" w:sz="4" w:space="0" w:color="auto"/>
              <w:left w:val="nil"/>
              <w:bottom w:val="double" w:sz="4" w:space="0" w:color="auto"/>
              <w:right w:val="single" w:sz="12" w:space="0" w:color="auto"/>
            </w:tcBorders>
            <w:shd w:val="pct20" w:color="auto" w:fill="FFFFFF"/>
          </w:tcPr>
          <w:p w:rsidR="00000000" w:rsidRDefault="00C40079">
            <w:pPr>
              <w:tabs>
                <w:tab w:val="left" w:pos="720"/>
                <w:tab w:val="left" w:pos="1080"/>
                <w:tab w:val="left" w:pos="1440"/>
                <w:tab w:val="left" w:pos="1800"/>
                <w:tab w:val="left" w:pos="2160"/>
              </w:tabs>
              <w:jc w:val="center"/>
              <w:rPr>
                <w:b/>
                <w:sz w:val="24"/>
              </w:rPr>
            </w:pPr>
            <w:r>
              <w:rPr>
                <w:b/>
                <w:sz w:val="24"/>
              </w:rPr>
              <w:t>2007</w:t>
            </w:r>
          </w:p>
        </w:tc>
        <w:tc>
          <w:tcPr>
            <w:tcW w:w="2160" w:type="dxa"/>
            <w:tcBorders>
              <w:top w:val="single" w:sz="4" w:space="0" w:color="auto"/>
              <w:left w:val="nil"/>
              <w:bottom w:val="double" w:sz="4" w:space="0" w:color="auto"/>
            </w:tcBorders>
            <w:shd w:val="pct20" w:color="auto" w:fill="FFFFFF"/>
          </w:tcPr>
          <w:p w:rsidR="00000000" w:rsidRDefault="00C40079">
            <w:pPr>
              <w:tabs>
                <w:tab w:val="left" w:pos="720"/>
                <w:tab w:val="left" w:pos="1080"/>
                <w:tab w:val="left" w:pos="1440"/>
                <w:tab w:val="left" w:pos="1800"/>
                <w:tab w:val="left" w:pos="2160"/>
              </w:tabs>
              <w:jc w:val="center"/>
              <w:rPr>
                <w:b/>
                <w:sz w:val="24"/>
              </w:rPr>
            </w:pPr>
            <w:r>
              <w:rPr>
                <w:b/>
                <w:sz w:val="24"/>
              </w:rPr>
              <w:t>2014</w:t>
            </w:r>
          </w:p>
        </w:tc>
      </w:tr>
      <w:tr w:rsidR="00000000">
        <w:tblPrEx>
          <w:tblCellMar>
            <w:top w:w="0" w:type="dxa"/>
            <w:bottom w:w="0" w:type="dxa"/>
          </w:tblCellMar>
        </w:tblPrEx>
        <w:trPr>
          <w:trHeight w:val="400"/>
        </w:trPr>
        <w:tc>
          <w:tcPr>
            <w:tcW w:w="2160" w:type="dxa"/>
            <w:tcBorders>
              <w:top w:val="double" w:sz="4" w:space="0" w:color="auto"/>
              <w:right w:val="single" w:sz="12" w:space="0" w:color="auto"/>
            </w:tcBorders>
            <w:vAlign w:val="center"/>
          </w:tcPr>
          <w:p w:rsidR="00000000" w:rsidRDefault="00C40079">
            <w:pPr>
              <w:tabs>
                <w:tab w:val="left" w:pos="720"/>
                <w:tab w:val="left" w:pos="1080"/>
                <w:tab w:val="left" w:pos="1440"/>
                <w:tab w:val="left" w:pos="1800"/>
                <w:tab w:val="left" w:pos="2160"/>
              </w:tabs>
              <w:rPr>
                <w:sz w:val="24"/>
              </w:rPr>
            </w:pPr>
            <w:r>
              <w:rPr>
                <w:sz w:val="24"/>
              </w:rPr>
              <w:t xml:space="preserve">Bergen </w:t>
            </w:r>
          </w:p>
        </w:tc>
        <w:tc>
          <w:tcPr>
            <w:tcW w:w="2520" w:type="dxa"/>
            <w:tcBorders>
              <w:top w:val="double" w:sz="4" w:space="0" w:color="auto"/>
              <w:left w:val="nil"/>
              <w:right w:val="single" w:sz="12"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 xml:space="preserve">455.29 </w:t>
            </w:r>
          </w:p>
        </w:tc>
        <w:tc>
          <w:tcPr>
            <w:tcW w:w="2520" w:type="dxa"/>
            <w:tcBorders>
              <w:top w:val="double" w:sz="4" w:space="0" w:color="auto"/>
              <w:left w:val="nil"/>
              <w:right w:val="single" w:sz="12"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350.56</w:t>
            </w:r>
          </w:p>
        </w:tc>
        <w:tc>
          <w:tcPr>
            <w:tcW w:w="2160" w:type="dxa"/>
            <w:tcBorders>
              <w:top w:val="double" w:sz="4" w:space="0" w:color="auto"/>
              <w:left w:val="nil"/>
            </w:tcBorders>
            <w:vAlign w:val="center"/>
          </w:tcPr>
          <w:p w:rsidR="00000000" w:rsidRDefault="00C40079">
            <w:pPr>
              <w:tabs>
                <w:tab w:val="left" w:pos="720"/>
                <w:tab w:val="left" w:pos="1080"/>
                <w:tab w:val="left" w:pos="1440"/>
                <w:tab w:val="left" w:pos="1800"/>
                <w:tab w:val="left" w:pos="2160"/>
              </w:tabs>
              <w:jc w:val="center"/>
              <w:rPr>
                <w:sz w:val="24"/>
              </w:rPr>
            </w:pPr>
            <w:r>
              <w:rPr>
                <w:sz w:val="24"/>
              </w:rPr>
              <w:t>381.01</w:t>
            </w:r>
          </w:p>
        </w:tc>
      </w:tr>
      <w:tr w:rsidR="00000000">
        <w:tblPrEx>
          <w:tblCellMar>
            <w:top w:w="0" w:type="dxa"/>
            <w:bottom w:w="0" w:type="dxa"/>
          </w:tblCellMar>
        </w:tblPrEx>
        <w:trPr>
          <w:trHeight w:val="400"/>
        </w:trPr>
        <w:tc>
          <w:tcPr>
            <w:tcW w:w="2160" w:type="dxa"/>
            <w:tcBorders>
              <w:right w:val="single" w:sz="12" w:space="0" w:color="auto"/>
            </w:tcBorders>
            <w:vAlign w:val="center"/>
          </w:tcPr>
          <w:p w:rsidR="00000000" w:rsidRDefault="00C40079">
            <w:pPr>
              <w:tabs>
                <w:tab w:val="left" w:pos="720"/>
                <w:tab w:val="left" w:pos="1080"/>
                <w:tab w:val="left" w:pos="1440"/>
                <w:tab w:val="left" w:pos="1800"/>
                <w:tab w:val="left" w:pos="2160"/>
              </w:tabs>
              <w:rPr>
                <w:sz w:val="24"/>
              </w:rPr>
            </w:pPr>
            <w:r>
              <w:rPr>
                <w:sz w:val="24"/>
              </w:rPr>
              <w:t>Essex</w:t>
            </w:r>
          </w:p>
        </w:tc>
        <w:tc>
          <w:tcPr>
            <w:tcW w:w="2520" w:type="dxa"/>
            <w:tcBorders>
              <w:left w:val="nil"/>
              <w:right w:val="single" w:sz="12"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287.10</w:t>
            </w:r>
          </w:p>
        </w:tc>
        <w:tc>
          <w:tcPr>
            <w:tcW w:w="2520" w:type="dxa"/>
            <w:tcBorders>
              <w:left w:val="nil"/>
              <w:right w:val="single" w:sz="12"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209.08</w:t>
            </w:r>
          </w:p>
        </w:tc>
        <w:tc>
          <w:tcPr>
            <w:tcW w:w="2160" w:type="dxa"/>
            <w:tcBorders>
              <w:left w:val="nil"/>
            </w:tcBorders>
            <w:vAlign w:val="center"/>
          </w:tcPr>
          <w:p w:rsidR="00000000" w:rsidRDefault="00C40079">
            <w:pPr>
              <w:tabs>
                <w:tab w:val="left" w:pos="720"/>
                <w:tab w:val="left" w:pos="1080"/>
                <w:tab w:val="left" w:pos="1440"/>
                <w:tab w:val="left" w:pos="1800"/>
                <w:tab w:val="left" w:pos="2160"/>
              </w:tabs>
              <w:jc w:val="center"/>
              <w:rPr>
                <w:sz w:val="24"/>
              </w:rPr>
            </w:pPr>
            <w:r>
              <w:rPr>
                <w:sz w:val="24"/>
              </w:rPr>
              <w:t>222.18</w:t>
            </w:r>
          </w:p>
        </w:tc>
      </w:tr>
      <w:tr w:rsidR="00000000">
        <w:tblPrEx>
          <w:tblCellMar>
            <w:top w:w="0" w:type="dxa"/>
            <w:bottom w:w="0" w:type="dxa"/>
          </w:tblCellMar>
        </w:tblPrEx>
        <w:trPr>
          <w:trHeight w:val="400"/>
        </w:trPr>
        <w:tc>
          <w:tcPr>
            <w:tcW w:w="2160" w:type="dxa"/>
            <w:tcBorders>
              <w:right w:val="single" w:sz="12" w:space="0" w:color="auto"/>
            </w:tcBorders>
            <w:vAlign w:val="center"/>
          </w:tcPr>
          <w:p w:rsidR="00000000" w:rsidRDefault="00C40079">
            <w:pPr>
              <w:tabs>
                <w:tab w:val="left" w:pos="720"/>
                <w:tab w:val="left" w:pos="1080"/>
                <w:tab w:val="left" w:pos="1440"/>
                <w:tab w:val="left" w:pos="1800"/>
                <w:tab w:val="left" w:pos="2160"/>
              </w:tabs>
              <w:rPr>
                <w:sz w:val="24"/>
              </w:rPr>
            </w:pPr>
            <w:r>
              <w:rPr>
                <w:sz w:val="24"/>
              </w:rPr>
              <w:t>Hudson</w:t>
            </w:r>
          </w:p>
        </w:tc>
        <w:tc>
          <w:tcPr>
            <w:tcW w:w="2520" w:type="dxa"/>
            <w:tcBorders>
              <w:left w:val="nil"/>
              <w:right w:val="single" w:sz="12"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183.64</w:t>
            </w:r>
          </w:p>
        </w:tc>
        <w:tc>
          <w:tcPr>
            <w:tcW w:w="2520" w:type="dxa"/>
            <w:tcBorders>
              <w:left w:val="nil"/>
              <w:right w:val="single" w:sz="12"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118.20</w:t>
            </w:r>
          </w:p>
        </w:tc>
        <w:tc>
          <w:tcPr>
            <w:tcW w:w="2160" w:type="dxa"/>
            <w:tcBorders>
              <w:left w:val="nil"/>
            </w:tcBorders>
            <w:vAlign w:val="center"/>
          </w:tcPr>
          <w:p w:rsidR="00000000" w:rsidRDefault="00C40079">
            <w:pPr>
              <w:tabs>
                <w:tab w:val="left" w:pos="720"/>
                <w:tab w:val="left" w:pos="1080"/>
                <w:tab w:val="left" w:pos="1440"/>
                <w:tab w:val="left" w:pos="1800"/>
                <w:tab w:val="left" w:pos="2160"/>
              </w:tabs>
              <w:jc w:val="center"/>
              <w:rPr>
                <w:sz w:val="24"/>
              </w:rPr>
            </w:pPr>
            <w:r>
              <w:rPr>
                <w:sz w:val="24"/>
              </w:rPr>
              <w:t>130.76</w:t>
            </w:r>
          </w:p>
        </w:tc>
      </w:tr>
      <w:tr w:rsidR="00000000">
        <w:tblPrEx>
          <w:tblCellMar>
            <w:top w:w="0" w:type="dxa"/>
            <w:bottom w:w="0" w:type="dxa"/>
          </w:tblCellMar>
        </w:tblPrEx>
        <w:trPr>
          <w:trHeight w:val="400"/>
        </w:trPr>
        <w:tc>
          <w:tcPr>
            <w:tcW w:w="2160" w:type="dxa"/>
            <w:tcBorders>
              <w:right w:val="single" w:sz="12" w:space="0" w:color="auto"/>
            </w:tcBorders>
            <w:vAlign w:val="center"/>
          </w:tcPr>
          <w:p w:rsidR="00000000" w:rsidRDefault="00C40079">
            <w:pPr>
              <w:tabs>
                <w:tab w:val="left" w:pos="720"/>
                <w:tab w:val="left" w:pos="1080"/>
                <w:tab w:val="left" w:pos="1440"/>
                <w:tab w:val="left" w:pos="1800"/>
                <w:tab w:val="left" w:pos="2160"/>
              </w:tabs>
              <w:rPr>
                <w:sz w:val="24"/>
              </w:rPr>
            </w:pPr>
            <w:r>
              <w:rPr>
                <w:sz w:val="24"/>
              </w:rPr>
              <w:t>Passaic</w:t>
            </w:r>
          </w:p>
        </w:tc>
        <w:tc>
          <w:tcPr>
            <w:tcW w:w="2520" w:type="dxa"/>
            <w:tcBorders>
              <w:left w:val="nil"/>
              <w:right w:val="single" w:sz="12"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220.17</w:t>
            </w:r>
          </w:p>
        </w:tc>
        <w:tc>
          <w:tcPr>
            <w:tcW w:w="2520" w:type="dxa"/>
            <w:tcBorders>
              <w:left w:val="nil"/>
              <w:right w:val="single" w:sz="12"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163.46</w:t>
            </w:r>
          </w:p>
        </w:tc>
        <w:tc>
          <w:tcPr>
            <w:tcW w:w="2160" w:type="dxa"/>
            <w:tcBorders>
              <w:left w:val="nil"/>
            </w:tcBorders>
            <w:vAlign w:val="center"/>
          </w:tcPr>
          <w:p w:rsidR="00000000" w:rsidRDefault="00C40079">
            <w:pPr>
              <w:tabs>
                <w:tab w:val="left" w:pos="720"/>
                <w:tab w:val="left" w:pos="1080"/>
                <w:tab w:val="left" w:pos="1440"/>
                <w:tab w:val="left" w:pos="1800"/>
                <w:tab w:val="left" w:pos="2160"/>
              </w:tabs>
              <w:jc w:val="center"/>
              <w:rPr>
                <w:sz w:val="24"/>
              </w:rPr>
            </w:pPr>
            <w:r>
              <w:rPr>
                <w:sz w:val="24"/>
              </w:rPr>
              <w:t>171.53</w:t>
            </w:r>
          </w:p>
        </w:tc>
      </w:tr>
      <w:tr w:rsidR="00000000">
        <w:tblPrEx>
          <w:tblCellMar>
            <w:top w:w="0" w:type="dxa"/>
            <w:bottom w:w="0" w:type="dxa"/>
          </w:tblCellMar>
        </w:tblPrEx>
        <w:trPr>
          <w:trHeight w:val="400"/>
        </w:trPr>
        <w:tc>
          <w:tcPr>
            <w:tcW w:w="2160" w:type="dxa"/>
            <w:tcBorders>
              <w:right w:val="single" w:sz="12" w:space="0" w:color="auto"/>
            </w:tcBorders>
            <w:vAlign w:val="center"/>
          </w:tcPr>
          <w:p w:rsidR="00000000" w:rsidRDefault="00C40079">
            <w:pPr>
              <w:tabs>
                <w:tab w:val="left" w:pos="720"/>
                <w:tab w:val="left" w:pos="1080"/>
                <w:tab w:val="left" w:pos="1440"/>
                <w:tab w:val="left" w:pos="1512"/>
                <w:tab w:val="left" w:pos="1800"/>
                <w:tab w:val="left" w:pos="2160"/>
              </w:tabs>
              <w:rPr>
                <w:sz w:val="24"/>
              </w:rPr>
            </w:pPr>
            <w:r>
              <w:rPr>
                <w:sz w:val="24"/>
              </w:rPr>
              <w:t>Union</w:t>
            </w:r>
          </w:p>
        </w:tc>
        <w:tc>
          <w:tcPr>
            <w:tcW w:w="2520" w:type="dxa"/>
            <w:tcBorders>
              <w:left w:val="nil"/>
              <w:right w:val="single" w:sz="12"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219.11</w:t>
            </w:r>
          </w:p>
        </w:tc>
        <w:tc>
          <w:tcPr>
            <w:tcW w:w="2520" w:type="dxa"/>
            <w:tcBorders>
              <w:left w:val="nil"/>
              <w:right w:val="single" w:sz="12"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156.41</w:t>
            </w:r>
          </w:p>
        </w:tc>
        <w:tc>
          <w:tcPr>
            <w:tcW w:w="2160" w:type="dxa"/>
            <w:tcBorders>
              <w:left w:val="nil"/>
            </w:tcBorders>
            <w:vAlign w:val="center"/>
          </w:tcPr>
          <w:p w:rsidR="00000000" w:rsidRDefault="00C40079">
            <w:pPr>
              <w:tabs>
                <w:tab w:val="left" w:pos="720"/>
                <w:tab w:val="left" w:pos="1080"/>
                <w:tab w:val="left" w:pos="1440"/>
                <w:tab w:val="left" w:pos="1800"/>
                <w:tab w:val="left" w:pos="2160"/>
              </w:tabs>
              <w:jc w:val="center"/>
              <w:rPr>
                <w:sz w:val="24"/>
              </w:rPr>
            </w:pPr>
            <w:r>
              <w:rPr>
                <w:sz w:val="24"/>
              </w:rPr>
              <w:t>166.45</w:t>
            </w:r>
          </w:p>
        </w:tc>
      </w:tr>
      <w:tr w:rsidR="00000000">
        <w:tblPrEx>
          <w:tblCellMar>
            <w:top w:w="0" w:type="dxa"/>
            <w:bottom w:w="0" w:type="dxa"/>
          </w:tblCellMar>
        </w:tblPrEx>
        <w:trPr>
          <w:trHeight w:val="400"/>
        </w:trPr>
        <w:tc>
          <w:tcPr>
            <w:tcW w:w="2160" w:type="dxa"/>
            <w:tcBorders>
              <w:right w:val="single" w:sz="12" w:space="0" w:color="auto"/>
            </w:tcBorders>
            <w:vAlign w:val="center"/>
          </w:tcPr>
          <w:p w:rsidR="00000000" w:rsidRDefault="00C40079">
            <w:pPr>
              <w:tabs>
                <w:tab w:val="left" w:pos="720"/>
                <w:tab w:val="left" w:pos="1080"/>
                <w:tab w:val="left" w:pos="1440"/>
                <w:tab w:val="left" w:pos="1800"/>
                <w:tab w:val="left" w:pos="1872"/>
                <w:tab w:val="left" w:pos="2160"/>
              </w:tabs>
              <w:rPr>
                <w:sz w:val="24"/>
              </w:rPr>
            </w:pPr>
            <w:r>
              <w:rPr>
                <w:sz w:val="24"/>
              </w:rPr>
              <w:t>Tot</w:t>
            </w:r>
            <w:r>
              <w:rPr>
                <w:sz w:val="24"/>
              </w:rPr>
              <w:t>als</w:t>
            </w:r>
          </w:p>
        </w:tc>
        <w:tc>
          <w:tcPr>
            <w:tcW w:w="2520" w:type="dxa"/>
            <w:tcBorders>
              <w:left w:val="nil"/>
              <w:right w:val="single" w:sz="12"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1,365.31</w:t>
            </w:r>
          </w:p>
        </w:tc>
        <w:tc>
          <w:tcPr>
            <w:tcW w:w="2520" w:type="dxa"/>
            <w:tcBorders>
              <w:left w:val="nil"/>
              <w:right w:val="single" w:sz="12" w:space="0" w:color="auto"/>
            </w:tcBorders>
            <w:vAlign w:val="center"/>
          </w:tcPr>
          <w:p w:rsidR="00000000" w:rsidRDefault="00C40079">
            <w:pPr>
              <w:tabs>
                <w:tab w:val="left" w:pos="720"/>
                <w:tab w:val="left" w:pos="1080"/>
                <w:tab w:val="left" w:pos="1440"/>
                <w:tab w:val="left" w:pos="1800"/>
                <w:tab w:val="left" w:pos="2160"/>
              </w:tabs>
              <w:jc w:val="center"/>
              <w:rPr>
                <w:sz w:val="24"/>
              </w:rPr>
            </w:pPr>
            <w:r>
              <w:rPr>
                <w:sz w:val="24"/>
              </w:rPr>
              <w:t>997.71</w:t>
            </w:r>
          </w:p>
        </w:tc>
        <w:tc>
          <w:tcPr>
            <w:tcW w:w="2160" w:type="dxa"/>
            <w:tcBorders>
              <w:left w:val="nil"/>
            </w:tcBorders>
            <w:vAlign w:val="center"/>
          </w:tcPr>
          <w:p w:rsidR="00000000" w:rsidRDefault="00C40079">
            <w:pPr>
              <w:tabs>
                <w:tab w:val="left" w:pos="720"/>
                <w:tab w:val="left" w:pos="1080"/>
                <w:tab w:val="left" w:pos="1440"/>
                <w:tab w:val="left" w:pos="1800"/>
                <w:tab w:val="left" w:pos="2160"/>
              </w:tabs>
              <w:jc w:val="center"/>
              <w:rPr>
                <w:sz w:val="24"/>
              </w:rPr>
            </w:pPr>
            <w:r>
              <w:rPr>
                <w:sz w:val="24"/>
              </w:rPr>
              <w:t>1,071.93</w:t>
            </w:r>
          </w:p>
        </w:tc>
      </w:tr>
    </w:tbl>
    <w:p w:rsidR="00000000" w:rsidRDefault="00C40079">
      <w:pPr>
        <w:pStyle w:val="Level2"/>
        <w:widowControl/>
        <w:tabs>
          <w:tab w:val="left" w:pos="720"/>
          <w:tab w:val="left" w:pos="1080"/>
          <w:tab w:val="left" w:pos="1440"/>
          <w:tab w:val="left" w:pos="1800"/>
          <w:tab w:val="left" w:pos="2160"/>
        </w:tabs>
      </w:pPr>
    </w:p>
    <w:p w:rsidR="00000000" w:rsidRDefault="00C40079">
      <w:pPr>
        <w:pStyle w:val="Level2"/>
        <w:widowControl/>
        <w:tabs>
          <w:tab w:val="left" w:pos="720"/>
          <w:tab w:val="left" w:pos="1080"/>
          <w:tab w:val="left" w:pos="1440"/>
          <w:tab w:val="left" w:pos="1800"/>
          <w:tab w:val="left" w:pos="2160"/>
        </w:tabs>
      </w:pPr>
    </w:p>
    <w:bookmarkStart w:id="98" w:name="Figure_II"/>
    <w:bookmarkStart w:id="99" w:name="_Hlt126636334"/>
    <w:bookmarkEnd w:id="99"/>
    <w:p w:rsidR="00000000" w:rsidRDefault="00C40079">
      <w:pPr>
        <w:pStyle w:val="Level2"/>
        <w:widowControl/>
        <w:tabs>
          <w:tab w:val="left" w:pos="720"/>
          <w:tab w:val="left" w:pos="1080"/>
          <w:tab w:val="left" w:pos="1440"/>
          <w:tab w:val="left" w:pos="1800"/>
          <w:tab w:val="left" w:pos="2160"/>
        </w:tabs>
        <w:rPr>
          <w:noProof/>
        </w:rPr>
      </w:pPr>
      <w:r>
        <w:rPr>
          <w:noProof/>
        </w:rPr>
        <w:object w:dxaOrig="11165" w:dyaOrig="5174">
          <v:shape id="_x0000_i1025" type="#_x0000_t75" style="width:489pt;height:258pt" o:ole="" fillcolor="window">
            <v:imagedata r:id="rId37" o:title=""/>
          </v:shape>
          <o:OLEObject Type="Embed" ProgID="Excel.Sheet.8" ShapeID="_x0000_i1025" DrawAspect="Content" ObjectID="_1667111044" r:id="rId38"/>
        </w:object>
      </w:r>
      <w:bookmarkEnd w:id="98"/>
    </w:p>
    <w:p w:rsidR="00000000" w:rsidRDefault="00C40079">
      <w:pPr>
        <w:pStyle w:val="Level2"/>
        <w:tabs>
          <w:tab w:val="left" w:pos="720"/>
          <w:tab w:val="left" w:pos="1080"/>
          <w:tab w:val="left" w:pos="1440"/>
          <w:tab w:val="left" w:pos="1800"/>
          <w:tab w:val="left" w:pos="2160"/>
        </w:tabs>
        <w:rPr>
          <w:u w:val="single"/>
        </w:rPr>
      </w:pPr>
      <w:r>
        <w:rPr>
          <w:u w:val="single"/>
        </w:rPr>
        <w:t>2007 Safety Margin Calculation</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1365.31 tons per day (1996 total emissions) – 997.71 tons per day (2007 total emissions) = 367.60 tons per day (2007 margin of safety)</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 xml:space="preserve">367.60 tons per day + 783.39 </w:t>
      </w:r>
      <w:r>
        <w:t>tons per day (existing 2007 carbon monoxide budget) = 1150.99 tons per day (onroad emission budget for 2007 including the margin of safety)</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jc w:val="center"/>
        <w:rPr>
          <w:b/>
        </w:rPr>
      </w:pPr>
      <w:bookmarkStart w:id="100" w:name="Table_IV"/>
      <w:bookmarkStart w:id="101" w:name="_Hlt126636063"/>
      <w:bookmarkEnd w:id="101"/>
      <w:r>
        <w:rPr>
          <w:b/>
        </w:rPr>
        <w:t>Table IV</w:t>
      </w:r>
      <w:bookmarkEnd w:id="100"/>
    </w:p>
    <w:p w:rsidR="00000000" w:rsidRDefault="00C40079">
      <w:pPr>
        <w:pStyle w:val="Level2"/>
        <w:tabs>
          <w:tab w:val="left" w:pos="720"/>
          <w:tab w:val="left" w:pos="1080"/>
          <w:tab w:val="left" w:pos="1440"/>
          <w:tab w:val="left" w:pos="1800"/>
          <w:tab w:val="left" w:pos="2160"/>
        </w:tabs>
        <w:jc w:val="center"/>
        <w:rPr>
          <w:b/>
        </w:rPr>
      </w:pPr>
      <w:r>
        <w:rPr>
          <w:b/>
        </w:rPr>
        <w:t xml:space="preserve">2007 Margin of Safety Calculation </w:t>
      </w:r>
    </w:p>
    <w:p w:rsidR="00000000" w:rsidRDefault="00C40079">
      <w:pPr>
        <w:pStyle w:val="Level2"/>
        <w:tabs>
          <w:tab w:val="left" w:pos="720"/>
          <w:tab w:val="left" w:pos="1080"/>
          <w:tab w:val="left" w:pos="1440"/>
          <w:tab w:val="left" w:pos="1800"/>
          <w:tab w:val="left" w:pos="2160"/>
        </w:tabs>
        <w:jc w:val="cente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96"/>
        <w:gridCol w:w="1596"/>
        <w:gridCol w:w="1596"/>
        <w:gridCol w:w="1596"/>
        <w:gridCol w:w="1596"/>
        <w:gridCol w:w="1596"/>
      </w:tblGrid>
      <w:tr w:rsidR="00000000">
        <w:tblPrEx>
          <w:tblCellMar>
            <w:top w:w="0" w:type="dxa"/>
            <w:bottom w:w="0" w:type="dxa"/>
          </w:tblCellMar>
        </w:tblPrEx>
        <w:tc>
          <w:tcPr>
            <w:tcW w:w="1596" w:type="dxa"/>
          </w:tcPr>
          <w:p w:rsidR="00000000" w:rsidRDefault="00C40079">
            <w:pPr>
              <w:pStyle w:val="Level2"/>
              <w:tabs>
                <w:tab w:val="left" w:pos="720"/>
                <w:tab w:val="left" w:pos="1080"/>
                <w:tab w:val="left" w:pos="1440"/>
                <w:tab w:val="left" w:pos="1800"/>
                <w:tab w:val="left" w:pos="2160"/>
              </w:tabs>
              <w:jc w:val="center"/>
            </w:pPr>
            <w:r>
              <w:t>Year</w:t>
            </w:r>
          </w:p>
        </w:tc>
        <w:tc>
          <w:tcPr>
            <w:tcW w:w="1596" w:type="dxa"/>
          </w:tcPr>
          <w:p w:rsidR="00000000" w:rsidRDefault="00C40079">
            <w:pPr>
              <w:pStyle w:val="Level2"/>
              <w:tabs>
                <w:tab w:val="left" w:pos="720"/>
                <w:tab w:val="left" w:pos="1080"/>
                <w:tab w:val="left" w:pos="1440"/>
                <w:tab w:val="left" w:pos="1800"/>
                <w:tab w:val="left" w:pos="2160"/>
              </w:tabs>
              <w:jc w:val="center"/>
            </w:pPr>
            <w:r>
              <w:t>Total Emissions</w:t>
            </w:r>
          </w:p>
          <w:p w:rsidR="00000000" w:rsidRDefault="00C40079">
            <w:pPr>
              <w:pStyle w:val="Level2"/>
              <w:tabs>
                <w:tab w:val="left" w:pos="720"/>
                <w:tab w:val="left" w:pos="1080"/>
                <w:tab w:val="left" w:pos="1440"/>
                <w:tab w:val="left" w:pos="1800"/>
                <w:tab w:val="left" w:pos="2160"/>
              </w:tabs>
              <w:jc w:val="center"/>
            </w:pPr>
            <w:r>
              <w:t>1996</w:t>
            </w:r>
          </w:p>
        </w:tc>
        <w:tc>
          <w:tcPr>
            <w:tcW w:w="1596" w:type="dxa"/>
          </w:tcPr>
          <w:p w:rsidR="00000000" w:rsidRDefault="00C40079">
            <w:pPr>
              <w:pStyle w:val="Level2"/>
              <w:tabs>
                <w:tab w:val="left" w:pos="720"/>
                <w:tab w:val="left" w:pos="1080"/>
                <w:tab w:val="left" w:pos="1440"/>
                <w:tab w:val="left" w:pos="1800"/>
                <w:tab w:val="left" w:pos="2160"/>
              </w:tabs>
              <w:jc w:val="center"/>
            </w:pPr>
            <w:r>
              <w:t>Total Emissions 2007</w:t>
            </w:r>
          </w:p>
        </w:tc>
        <w:tc>
          <w:tcPr>
            <w:tcW w:w="1596" w:type="dxa"/>
          </w:tcPr>
          <w:p w:rsidR="00000000" w:rsidRDefault="00C40079">
            <w:pPr>
              <w:pStyle w:val="Level2"/>
              <w:tabs>
                <w:tab w:val="left" w:pos="720"/>
                <w:tab w:val="left" w:pos="1080"/>
                <w:tab w:val="left" w:pos="1440"/>
                <w:tab w:val="left" w:pos="1800"/>
                <w:tab w:val="left" w:pos="2160"/>
              </w:tabs>
              <w:jc w:val="center"/>
            </w:pPr>
            <w:r>
              <w:t>2007 Margin of Safety</w:t>
            </w:r>
          </w:p>
        </w:tc>
        <w:tc>
          <w:tcPr>
            <w:tcW w:w="1596" w:type="dxa"/>
          </w:tcPr>
          <w:p w:rsidR="00000000" w:rsidRDefault="00C40079">
            <w:pPr>
              <w:pStyle w:val="Level2"/>
              <w:tabs>
                <w:tab w:val="left" w:pos="720"/>
                <w:tab w:val="left" w:pos="1080"/>
                <w:tab w:val="left" w:pos="1440"/>
                <w:tab w:val="left" w:pos="1800"/>
                <w:tab w:val="left" w:pos="2160"/>
              </w:tabs>
              <w:jc w:val="center"/>
            </w:pPr>
            <w:r>
              <w:t>Prior 2007  budget</w:t>
            </w:r>
          </w:p>
        </w:tc>
        <w:tc>
          <w:tcPr>
            <w:tcW w:w="1596" w:type="dxa"/>
          </w:tcPr>
          <w:p w:rsidR="00000000" w:rsidRDefault="00C40079">
            <w:pPr>
              <w:pStyle w:val="Level2"/>
              <w:tabs>
                <w:tab w:val="left" w:pos="720"/>
                <w:tab w:val="left" w:pos="1080"/>
                <w:tab w:val="left" w:pos="1440"/>
                <w:tab w:val="left" w:pos="1800"/>
                <w:tab w:val="left" w:pos="2160"/>
              </w:tabs>
              <w:jc w:val="center"/>
            </w:pPr>
            <w:r>
              <w:t>Updated 2007 budget</w:t>
            </w:r>
          </w:p>
        </w:tc>
      </w:tr>
      <w:tr w:rsidR="00000000">
        <w:tblPrEx>
          <w:tblCellMar>
            <w:top w:w="0" w:type="dxa"/>
            <w:bottom w:w="0" w:type="dxa"/>
          </w:tblCellMar>
        </w:tblPrEx>
        <w:tc>
          <w:tcPr>
            <w:tcW w:w="1596" w:type="dxa"/>
          </w:tcPr>
          <w:p w:rsidR="00000000" w:rsidRDefault="00C40079">
            <w:pPr>
              <w:pStyle w:val="Level2"/>
              <w:tabs>
                <w:tab w:val="left" w:pos="720"/>
                <w:tab w:val="left" w:pos="1080"/>
                <w:tab w:val="left" w:pos="1440"/>
                <w:tab w:val="left" w:pos="1800"/>
                <w:tab w:val="left" w:pos="2160"/>
              </w:tabs>
              <w:jc w:val="center"/>
            </w:pPr>
            <w:r>
              <w:t>Budget (tons/day)</w:t>
            </w:r>
          </w:p>
        </w:tc>
        <w:tc>
          <w:tcPr>
            <w:tcW w:w="1596" w:type="dxa"/>
          </w:tcPr>
          <w:p w:rsidR="00000000" w:rsidRDefault="00C40079">
            <w:pPr>
              <w:pStyle w:val="Level2"/>
              <w:tabs>
                <w:tab w:val="left" w:pos="720"/>
                <w:tab w:val="left" w:pos="1080"/>
                <w:tab w:val="left" w:pos="1440"/>
                <w:tab w:val="left" w:pos="1800"/>
                <w:tab w:val="left" w:pos="2160"/>
              </w:tabs>
              <w:jc w:val="center"/>
            </w:pPr>
            <w:r>
              <w:t>1365.31</w:t>
            </w:r>
          </w:p>
        </w:tc>
        <w:tc>
          <w:tcPr>
            <w:tcW w:w="1596" w:type="dxa"/>
          </w:tcPr>
          <w:p w:rsidR="00000000" w:rsidRDefault="00C40079">
            <w:pPr>
              <w:pStyle w:val="Level2"/>
              <w:tabs>
                <w:tab w:val="left" w:pos="720"/>
                <w:tab w:val="left" w:pos="1080"/>
                <w:tab w:val="left" w:pos="1440"/>
                <w:tab w:val="left" w:pos="1800"/>
                <w:tab w:val="left" w:pos="2160"/>
              </w:tabs>
              <w:jc w:val="center"/>
            </w:pPr>
            <w:r>
              <w:t>997.71</w:t>
            </w:r>
          </w:p>
        </w:tc>
        <w:tc>
          <w:tcPr>
            <w:tcW w:w="1596" w:type="dxa"/>
          </w:tcPr>
          <w:p w:rsidR="00000000" w:rsidRDefault="00C40079">
            <w:pPr>
              <w:pStyle w:val="Level2"/>
              <w:tabs>
                <w:tab w:val="left" w:pos="720"/>
                <w:tab w:val="left" w:pos="1080"/>
                <w:tab w:val="left" w:pos="1440"/>
                <w:tab w:val="left" w:pos="1800"/>
                <w:tab w:val="left" w:pos="2160"/>
              </w:tabs>
              <w:jc w:val="center"/>
            </w:pPr>
            <w:r>
              <w:t>367.60</w:t>
            </w:r>
          </w:p>
        </w:tc>
        <w:tc>
          <w:tcPr>
            <w:tcW w:w="1596" w:type="dxa"/>
          </w:tcPr>
          <w:p w:rsidR="00000000" w:rsidRDefault="00C40079">
            <w:pPr>
              <w:pStyle w:val="Level2"/>
              <w:tabs>
                <w:tab w:val="left" w:pos="720"/>
                <w:tab w:val="left" w:pos="1080"/>
                <w:tab w:val="left" w:pos="1440"/>
                <w:tab w:val="left" w:pos="1800"/>
                <w:tab w:val="left" w:pos="2160"/>
              </w:tabs>
              <w:jc w:val="center"/>
            </w:pPr>
            <w:r>
              <w:t>783.39</w:t>
            </w:r>
          </w:p>
        </w:tc>
        <w:tc>
          <w:tcPr>
            <w:tcW w:w="1596" w:type="dxa"/>
          </w:tcPr>
          <w:p w:rsidR="00000000" w:rsidRDefault="00C40079">
            <w:pPr>
              <w:pStyle w:val="Level2"/>
              <w:tabs>
                <w:tab w:val="left" w:pos="720"/>
                <w:tab w:val="left" w:pos="1080"/>
                <w:tab w:val="left" w:pos="1440"/>
                <w:tab w:val="left" w:pos="1800"/>
                <w:tab w:val="left" w:pos="2160"/>
              </w:tabs>
              <w:jc w:val="center"/>
            </w:pPr>
            <w:r>
              <w:t>1150.99</w:t>
            </w:r>
          </w:p>
        </w:tc>
      </w:tr>
    </w:tbl>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rPr>
          <w:u w:val="single"/>
        </w:rPr>
      </w:pPr>
      <w:r>
        <w:rPr>
          <w:u w:val="single"/>
        </w:rPr>
        <w:t>2014 Safety Margin Calculation</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1365.31 tons per day (1996 total emissions) – 1071.93 tons per day (2014 total emissions) = 293.38 tons per day (2014 margin o</w:t>
      </w:r>
      <w:r>
        <w:t>f safety)</w:t>
      </w:r>
    </w:p>
    <w:p w:rsidR="00000000" w:rsidRDefault="00C40079">
      <w:pPr>
        <w:pStyle w:val="Level2"/>
        <w:tabs>
          <w:tab w:val="left" w:pos="720"/>
          <w:tab w:val="left" w:pos="1080"/>
          <w:tab w:val="left" w:pos="1440"/>
          <w:tab w:val="left" w:pos="1800"/>
          <w:tab w:val="left" w:pos="2160"/>
        </w:tabs>
      </w:pPr>
      <w:r>
        <w:t>293.38 tons per day + 605.63 tons per day (existing 2014 carbon monoxide budget) = 899.01 tons per day (onroad emission budget for 2014 including the margin of safety)</w:t>
      </w:r>
    </w:p>
    <w:p w:rsidR="00000000" w:rsidRDefault="00C40079">
      <w:pPr>
        <w:pStyle w:val="Level2"/>
        <w:tabs>
          <w:tab w:val="left" w:pos="720"/>
          <w:tab w:val="left" w:pos="1080"/>
          <w:tab w:val="left" w:pos="1440"/>
          <w:tab w:val="left" w:pos="1800"/>
          <w:tab w:val="left" w:pos="2160"/>
        </w:tabs>
        <w:jc w:val="center"/>
        <w:rPr>
          <w:b/>
        </w:rPr>
      </w:pPr>
      <w:bookmarkStart w:id="102" w:name="Table_V"/>
      <w:bookmarkStart w:id="103" w:name="_Hlt126636058"/>
      <w:bookmarkEnd w:id="103"/>
      <w:r>
        <w:rPr>
          <w:b/>
        </w:rPr>
        <w:lastRenderedPageBreak/>
        <w:t>Table V</w:t>
      </w:r>
      <w:bookmarkEnd w:id="102"/>
    </w:p>
    <w:p w:rsidR="00000000" w:rsidRDefault="00C40079">
      <w:pPr>
        <w:pStyle w:val="Level2"/>
        <w:tabs>
          <w:tab w:val="left" w:pos="720"/>
          <w:tab w:val="left" w:pos="1080"/>
          <w:tab w:val="left" w:pos="1440"/>
          <w:tab w:val="left" w:pos="1800"/>
          <w:tab w:val="left" w:pos="2160"/>
        </w:tabs>
        <w:jc w:val="center"/>
        <w:rPr>
          <w:b/>
        </w:rPr>
      </w:pPr>
      <w:r>
        <w:rPr>
          <w:b/>
        </w:rPr>
        <w:t>2014 Margin of Safety Calculation</w:t>
      </w:r>
    </w:p>
    <w:p w:rsidR="00000000" w:rsidRDefault="00C40079">
      <w:pPr>
        <w:pStyle w:val="Level2"/>
        <w:tabs>
          <w:tab w:val="left" w:pos="720"/>
          <w:tab w:val="left" w:pos="1080"/>
          <w:tab w:val="left" w:pos="1440"/>
          <w:tab w:val="left" w:pos="1800"/>
          <w:tab w:val="left" w:pos="2160"/>
        </w:tabs>
        <w:jc w:val="cente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96"/>
        <w:gridCol w:w="1596"/>
        <w:gridCol w:w="1596"/>
        <w:gridCol w:w="1596"/>
        <w:gridCol w:w="1596"/>
        <w:gridCol w:w="1596"/>
      </w:tblGrid>
      <w:tr w:rsidR="00000000">
        <w:tblPrEx>
          <w:tblCellMar>
            <w:top w:w="0" w:type="dxa"/>
            <w:bottom w:w="0" w:type="dxa"/>
          </w:tblCellMar>
        </w:tblPrEx>
        <w:tc>
          <w:tcPr>
            <w:tcW w:w="1596" w:type="dxa"/>
          </w:tcPr>
          <w:p w:rsidR="00000000" w:rsidRDefault="00C40079">
            <w:pPr>
              <w:pStyle w:val="Level2"/>
              <w:tabs>
                <w:tab w:val="left" w:pos="720"/>
                <w:tab w:val="left" w:pos="1080"/>
                <w:tab w:val="left" w:pos="1440"/>
                <w:tab w:val="left" w:pos="1800"/>
                <w:tab w:val="left" w:pos="2160"/>
              </w:tabs>
              <w:jc w:val="center"/>
            </w:pPr>
            <w:r>
              <w:t>Year</w:t>
            </w:r>
          </w:p>
        </w:tc>
        <w:tc>
          <w:tcPr>
            <w:tcW w:w="1596" w:type="dxa"/>
          </w:tcPr>
          <w:p w:rsidR="00000000" w:rsidRDefault="00C40079">
            <w:pPr>
              <w:pStyle w:val="Level2"/>
              <w:tabs>
                <w:tab w:val="left" w:pos="720"/>
                <w:tab w:val="left" w:pos="1080"/>
                <w:tab w:val="left" w:pos="1440"/>
                <w:tab w:val="left" w:pos="1800"/>
                <w:tab w:val="left" w:pos="2160"/>
              </w:tabs>
              <w:jc w:val="center"/>
            </w:pPr>
            <w:r>
              <w:t>Total Emissions</w:t>
            </w:r>
          </w:p>
          <w:p w:rsidR="00000000" w:rsidRDefault="00C40079">
            <w:pPr>
              <w:pStyle w:val="Level2"/>
              <w:tabs>
                <w:tab w:val="left" w:pos="720"/>
                <w:tab w:val="left" w:pos="1080"/>
                <w:tab w:val="left" w:pos="1440"/>
                <w:tab w:val="left" w:pos="1800"/>
                <w:tab w:val="left" w:pos="2160"/>
              </w:tabs>
              <w:jc w:val="center"/>
            </w:pPr>
            <w:r>
              <w:t>1996</w:t>
            </w:r>
          </w:p>
        </w:tc>
        <w:tc>
          <w:tcPr>
            <w:tcW w:w="1596" w:type="dxa"/>
          </w:tcPr>
          <w:p w:rsidR="00000000" w:rsidRDefault="00C40079">
            <w:pPr>
              <w:pStyle w:val="Level2"/>
              <w:tabs>
                <w:tab w:val="left" w:pos="720"/>
                <w:tab w:val="left" w:pos="1080"/>
                <w:tab w:val="left" w:pos="1440"/>
                <w:tab w:val="left" w:pos="1800"/>
                <w:tab w:val="left" w:pos="2160"/>
              </w:tabs>
              <w:jc w:val="center"/>
            </w:pPr>
            <w:r>
              <w:t>Total Emi</w:t>
            </w:r>
            <w:r>
              <w:t>ssions 2014</w:t>
            </w:r>
          </w:p>
        </w:tc>
        <w:tc>
          <w:tcPr>
            <w:tcW w:w="1596" w:type="dxa"/>
          </w:tcPr>
          <w:p w:rsidR="00000000" w:rsidRDefault="00C40079">
            <w:pPr>
              <w:pStyle w:val="Level2"/>
              <w:tabs>
                <w:tab w:val="left" w:pos="720"/>
                <w:tab w:val="left" w:pos="1080"/>
                <w:tab w:val="left" w:pos="1440"/>
                <w:tab w:val="left" w:pos="1800"/>
                <w:tab w:val="left" w:pos="2160"/>
              </w:tabs>
              <w:jc w:val="center"/>
            </w:pPr>
            <w:r>
              <w:t>2014 Margin of Safety</w:t>
            </w:r>
          </w:p>
        </w:tc>
        <w:tc>
          <w:tcPr>
            <w:tcW w:w="1596" w:type="dxa"/>
          </w:tcPr>
          <w:p w:rsidR="00000000" w:rsidRDefault="00C40079">
            <w:pPr>
              <w:pStyle w:val="Level2"/>
              <w:tabs>
                <w:tab w:val="left" w:pos="720"/>
                <w:tab w:val="left" w:pos="1080"/>
                <w:tab w:val="left" w:pos="1440"/>
                <w:tab w:val="left" w:pos="1800"/>
                <w:tab w:val="left" w:pos="2160"/>
              </w:tabs>
              <w:jc w:val="center"/>
            </w:pPr>
            <w:r>
              <w:t>Prior 2014  budget</w:t>
            </w:r>
          </w:p>
        </w:tc>
        <w:tc>
          <w:tcPr>
            <w:tcW w:w="1596" w:type="dxa"/>
          </w:tcPr>
          <w:p w:rsidR="00000000" w:rsidRDefault="00C40079">
            <w:pPr>
              <w:pStyle w:val="Level2"/>
              <w:tabs>
                <w:tab w:val="left" w:pos="720"/>
                <w:tab w:val="left" w:pos="1080"/>
                <w:tab w:val="left" w:pos="1440"/>
                <w:tab w:val="left" w:pos="1800"/>
                <w:tab w:val="left" w:pos="2160"/>
              </w:tabs>
              <w:jc w:val="center"/>
            </w:pPr>
            <w:r>
              <w:t>Updated 2014 budget</w:t>
            </w:r>
          </w:p>
        </w:tc>
      </w:tr>
      <w:tr w:rsidR="00000000">
        <w:tblPrEx>
          <w:tblCellMar>
            <w:top w:w="0" w:type="dxa"/>
            <w:bottom w:w="0" w:type="dxa"/>
          </w:tblCellMar>
        </w:tblPrEx>
        <w:tc>
          <w:tcPr>
            <w:tcW w:w="1596" w:type="dxa"/>
          </w:tcPr>
          <w:p w:rsidR="00000000" w:rsidRDefault="00C40079">
            <w:pPr>
              <w:pStyle w:val="Level2"/>
              <w:tabs>
                <w:tab w:val="left" w:pos="720"/>
                <w:tab w:val="left" w:pos="1080"/>
                <w:tab w:val="left" w:pos="1440"/>
                <w:tab w:val="left" w:pos="1800"/>
                <w:tab w:val="left" w:pos="2160"/>
              </w:tabs>
              <w:jc w:val="center"/>
            </w:pPr>
            <w:r>
              <w:t>Budget (tons/day)</w:t>
            </w:r>
          </w:p>
        </w:tc>
        <w:tc>
          <w:tcPr>
            <w:tcW w:w="1596" w:type="dxa"/>
          </w:tcPr>
          <w:p w:rsidR="00000000" w:rsidRDefault="00C40079">
            <w:pPr>
              <w:pStyle w:val="Level2"/>
              <w:tabs>
                <w:tab w:val="left" w:pos="720"/>
                <w:tab w:val="left" w:pos="1080"/>
                <w:tab w:val="left" w:pos="1440"/>
                <w:tab w:val="left" w:pos="1800"/>
                <w:tab w:val="left" w:pos="2160"/>
              </w:tabs>
              <w:jc w:val="center"/>
            </w:pPr>
            <w:r>
              <w:t>1365.31</w:t>
            </w:r>
          </w:p>
        </w:tc>
        <w:tc>
          <w:tcPr>
            <w:tcW w:w="1596" w:type="dxa"/>
          </w:tcPr>
          <w:p w:rsidR="00000000" w:rsidRDefault="00C40079">
            <w:pPr>
              <w:pStyle w:val="Level2"/>
              <w:tabs>
                <w:tab w:val="left" w:pos="720"/>
                <w:tab w:val="left" w:pos="1080"/>
                <w:tab w:val="left" w:pos="1440"/>
                <w:tab w:val="left" w:pos="1800"/>
                <w:tab w:val="left" w:pos="2160"/>
              </w:tabs>
              <w:jc w:val="center"/>
            </w:pPr>
            <w:r>
              <w:t>1071.93</w:t>
            </w:r>
          </w:p>
        </w:tc>
        <w:tc>
          <w:tcPr>
            <w:tcW w:w="1596" w:type="dxa"/>
          </w:tcPr>
          <w:p w:rsidR="00000000" w:rsidRDefault="00C40079">
            <w:pPr>
              <w:pStyle w:val="Level2"/>
              <w:tabs>
                <w:tab w:val="left" w:pos="720"/>
                <w:tab w:val="left" w:pos="1080"/>
                <w:tab w:val="left" w:pos="1440"/>
                <w:tab w:val="left" w:pos="1800"/>
                <w:tab w:val="left" w:pos="2160"/>
              </w:tabs>
              <w:jc w:val="center"/>
            </w:pPr>
            <w:r>
              <w:t>293.38</w:t>
            </w:r>
          </w:p>
        </w:tc>
        <w:tc>
          <w:tcPr>
            <w:tcW w:w="1596" w:type="dxa"/>
          </w:tcPr>
          <w:p w:rsidR="00000000" w:rsidRDefault="00C40079">
            <w:pPr>
              <w:pStyle w:val="Level2"/>
              <w:tabs>
                <w:tab w:val="left" w:pos="720"/>
                <w:tab w:val="left" w:pos="1080"/>
                <w:tab w:val="left" w:pos="1440"/>
                <w:tab w:val="left" w:pos="1800"/>
                <w:tab w:val="left" w:pos="2160"/>
              </w:tabs>
              <w:jc w:val="center"/>
            </w:pPr>
            <w:r>
              <w:t>605.63</w:t>
            </w:r>
          </w:p>
        </w:tc>
        <w:tc>
          <w:tcPr>
            <w:tcW w:w="1596" w:type="dxa"/>
          </w:tcPr>
          <w:p w:rsidR="00000000" w:rsidRDefault="00C40079">
            <w:pPr>
              <w:pStyle w:val="Level2"/>
              <w:tabs>
                <w:tab w:val="left" w:pos="720"/>
                <w:tab w:val="left" w:pos="1080"/>
                <w:tab w:val="left" w:pos="1440"/>
                <w:tab w:val="left" w:pos="1800"/>
                <w:tab w:val="left" w:pos="2160"/>
              </w:tabs>
              <w:jc w:val="center"/>
            </w:pPr>
            <w:r>
              <w:t>899.01</w:t>
            </w:r>
          </w:p>
        </w:tc>
      </w:tr>
    </w:tbl>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rPr>
          <w:u w:val="single"/>
        </w:rPr>
      </w:pPr>
    </w:p>
    <w:p w:rsidR="00000000" w:rsidRDefault="00C40079">
      <w:pPr>
        <w:pStyle w:val="Level2"/>
        <w:tabs>
          <w:tab w:val="left" w:pos="720"/>
          <w:tab w:val="left" w:pos="1080"/>
          <w:tab w:val="left" w:pos="1440"/>
          <w:tab w:val="left" w:pos="1800"/>
          <w:tab w:val="left" w:pos="2160"/>
        </w:tabs>
        <w:rPr>
          <w:u w:val="single"/>
        </w:rPr>
      </w:pPr>
      <w:r>
        <w:rPr>
          <w:u w:val="single"/>
        </w:rPr>
        <w:t>Ozone Budgets – VOC/NO</w:t>
      </w:r>
      <w:r>
        <w:rPr>
          <w:u w:val="single"/>
          <w:vertAlign w:val="subscript"/>
        </w:rPr>
        <w:t>x</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United States Department of Transportation (USDOT) and the USEPA guidance strongly recommend fi</w:t>
      </w:r>
      <w:r>
        <w:t>ve year updates to planning assumptions.</w:t>
      </w:r>
      <w:r>
        <w:rPr>
          <w:rStyle w:val="FootnoteReference"/>
          <w:sz w:val="20"/>
          <w:vertAlign w:val="superscript"/>
        </w:rPr>
        <w:footnoteReference w:id="15"/>
      </w:r>
      <w:r>
        <w:t xml:space="preserve">  The new planning assumptions involve updates to the vehicle miles traveled adjustment files and the vehicle miles traveled fractions assigned to the various vehicle types planning assumptions.  These vehicle miles</w:t>
      </w:r>
      <w:r>
        <w:t xml:space="preserve"> traveled adjustment files are used to modify travel demand model predicted vehicle miles traveled to match the vehicle miles traveled reported in the Highway Performance Monitoring System.  The use of updated predicted levels of vehicle miles traveled and</w:t>
      </w:r>
      <w:r>
        <w:t xml:space="preserve"> an updated allocation of vehicle miles traveled between the various vehicle types for the North Jersey Transportation Planning Authority region caused VOC and NO</w:t>
      </w:r>
      <w:r>
        <w:rPr>
          <w:vertAlign w:val="subscript"/>
        </w:rPr>
        <w:t>x</w:t>
      </w:r>
      <w:r>
        <w:t xml:space="preserve"> emission predictions to increase by amounts greater than can be reduced by the Metropolitan </w:t>
      </w:r>
      <w:r>
        <w:t>Planning Organization changing transportation projects.  An additional change in planning assumptions was an update of the vehicle age distribution for light duty gasoline cars and trucks that had a net effect of generally reducing the age of these vehicle</w:t>
      </w:r>
      <w:r>
        <w:t xml:space="preserve"> classes.  This caused significant reductions in the forecasting of both VOC and NO</w:t>
      </w:r>
      <w:r>
        <w:rPr>
          <w:vertAlign w:val="subscript"/>
        </w:rPr>
        <w:t>x</w:t>
      </w:r>
      <w:r>
        <w:t xml:space="preserve"> emissions because vehicle emission standards become more stringent over time.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overall result of all planning assumption changes was a reduction in the VOC budgets bu</w:t>
      </w:r>
      <w:r>
        <w:t>t an increase in the NO</w:t>
      </w:r>
      <w:r>
        <w:rPr>
          <w:vertAlign w:val="subscript"/>
        </w:rPr>
        <w:t>x</w:t>
      </w:r>
      <w:r>
        <w:t xml:space="preserve"> budgets.  The changes in the budgets are less than the amounts that would cause New Jersey emissions to no longer support predicted achievement of projected attainment of the 1-hour ozone NAAQS by the attainment date as shown in Se</w:t>
      </w:r>
      <w:r>
        <w:t>ction II.B.1.i.b.  Even though the 1-hour ozone standard is revoked, the USEPA requires the 1-hour ozone budgets to be used until the 8-hour ozone standard budgets are established as part of the attainment demonstration due in 2007.  The computer files use</w:t>
      </w:r>
      <w:r>
        <w:t>d to generate the updated VOC and NO</w:t>
      </w:r>
      <w:r>
        <w:rPr>
          <w:vertAlign w:val="subscript"/>
        </w:rPr>
        <w:t>x</w:t>
      </w:r>
      <w:r>
        <w:t xml:space="preserve"> budgets are contained in Appendix C.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 xml:space="preserve">The budgets for Ocean County are provided in Appendix C where breakouts by county are reported.  The North Jersey Transportation Planning Authority needs to breakout Ocean County </w:t>
      </w:r>
      <w:r>
        <w:t xml:space="preserve">in its conformity determinations because it is part of the Philadelphia/Wilmington/Atlantic City 8-hour ozone nonattainment area while the other North Jersey Transportation Planning Authority counties are part of the New York City/Northern New Jersey/Long </w:t>
      </w:r>
      <w:r>
        <w:t>Island 8-hour ozone nonattainment area.</w:t>
      </w:r>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widowControl/>
        <w:numPr>
          <w:ilvl w:val="0"/>
          <w:numId w:val="14"/>
        </w:numPr>
        <w:tabs>
          <w:tab w:val="left" w:pos="720"/>
          <w:tab w:val="left" w:pos="1080"/>
          <w:tab w:val="left" w:pos="1800"/>
        </w:tabs>
        <w:ind w:left="1800"/>
        <w:rPr>
          <w:b/>
        </w:rPr>
      </w:pPr>
      <w:bookmarkStart w:id="104" w:name="_Hlt126633824"/>
      <w:bookmarkStart w:id="105" w:name="Effects_on_CO_Maintenance"/>
      <w:bookmarkEnd w:id="104"/>
      <w:r>
        <w:rPr>
          <w:b/>
        </w:rPr>
        <w:lastRenderedPageBreak/>
        <w:t>Effect of Updated Transportation Conformity Emission Budgets on the Carbon Monoxide Maintenance Plans</w:t>
      </w:r>
      <w:bookmarkEnd w:id="105"/>
    </w:p>
    <w:p w:rsidR="00000000" w:rsidRDefault="00C40079">
      <w:pPr>
        <w:pStyle w:val="Level2"/>
        <w:widowControl/>
        <w:tabs>
          <w:tab w:val="left" w:pos="1080"/>
          <w:tab w:val="left" w:pos="1800"/>
        </w:tabs>
      </w:pPr>
    </w:p>
    <w:p w:rsidR="00000000" w:rsidRDefault="00C40079">
      <w:pPr>
        <w:pStyle w:val="Level2"/>
        <w:widowControl/>
        <w:tabs>
          <w:tab w:val="left" w:pos="1080"/>
          <w:tab w:val="left" w:pos="1800"/>
        </w:tabs>
      </w:pPr>
      <w:r>
        <w:t>Actual measured carbon monoxide concentrations have been steadily decreasing over the last thirty years as a lik</w:t>
      </w:r>
      <w:r>
        <w:t>ely consequence of improvements in motor vehicle emission technology.  Onroad mobile sources have historically contributed the largest portion of the carbon monoxide inventory in New Jersey relative to the other source sectors.  The last time the carbon mo</w:t>
      </w:r>
      <w:r>
        <w:t xml:space="preserve">noxide NAAQS was exceeded in New Jersey was in January of 1995.  The monitored carbon monoxide levels have trended downward so that the maximum measured values are currently about one-half of the NAAQS level as shown in Figure II. </w:t>
      </w:r>
    </w:p>
    <w:p w:rsidR="00000000" w:rsidRDefault="00C40079">
      <w:pPr>
        <w:pStyle w:val="Level2"/>
        <w:widowControl/>
        <w:tabs>
          <w:tab w:val="left" w:pos="1080"/>
          <w:tab w:val="left" w:pos="1800"/>
        </w:tabs>
      </w:pPr>
    </w:p>
    <w:p w:rsidR="00000000" w:rsidRDefault="00C40079">
      <w:pPr>
        <w:pStyle w:val="Level2"/>
        <w:widowControl/>
        <w:tabs>
          <w:tab w:val="left" w:pos="1080"/>
          <w:tab w:val="left" w:pos="1800"/>
        </w:tabs>
      </w:pPr>
      <w:r>
        <w:t>Prior and proposed upda</w:t>
      </w:r>
      <w:r>
        <w:t>ted carbon monoxide budgets for the New Jersey portion of the New York City/Northern New Jersey/Long Island carbon monoxide maintenance area were provided in Table II.  The only revision performed to the prior carbon monoxide budgets was the inclusion of s</w:t>
      </w:r>
      <w:r>
        <w:t>afety margins calculated from the USEPA approved maintenance plan.  Safety margins were incorporated so that the updated carbon monoxide transportation conformity emission budgets represent constraints on emissions from onroad sources that will maintain at</w:t>
      </w:r>
      <w:r>
        <w:t>tainment of the carbon monoxide NAAQS without being overly restrictive of the transportation project planning process.  The updates to the carbon monoxide budgets do not affect the conclusions of the carbon monoxide maintenance plan for the New York City/N</w:t>
      </w:r>
      <w:r>
        <w:t>orthern New Jersey/Long Island area because they were performed using the inventory estimates from that plan.</w:t>
      </w:r>
      <w:bookmarkStart w:id="106" w:name="Effects_on_Ozone_Attainment"/>
      <w:bookmarkStart w:id="107" w:name="_Hlt126634164"/>
      <w:bookmarkEnd w:id="107"/>
    </w:p>
    <w:p w:rsidR="00000000" w:rsidRDefault="00C40079">
      <w:pPr>
        <w:pStyle w:val="Level2"/>
        <w:widowControl/>
        <w:tabs>
          <w:tab w:val="left" w:pos="1080"/>
          <w:tab w:val="left" w:pos="1800"/>
        </w:tabs>
        <w:rPr>
          <w:b/>
        </w:rPr>
      </w:pPr>
    </w:p>
    <w:p w:rsidR="00000000" w:rsidRDefault="00C40079">
      <w:pPr>
        <w:pStyle w:val="Level2"/>
        <w:widowControl/>
        <w:numPr>
          <w:ilvl w:val="0"/>
          <w:numId w:val="14"/>
        </w:numPr>
        <w:tabs>
          <w:tab w:val="left" w:pos="720"/>
          <w:tab w:val="left" w:pos="1080"/>
          <w:tab w:val="left" w:pos="1800"/>
        </w:tabs>
        <w:ind w:left="1800"/>
        <w:rPr>
          <w:b/>
        </w:rPr>
      </w:pPr>
      <w:r>
        <w:rPr>
          <w:b/>
        </w:rPr>
        <w:t>Effect of Updated Transportation Conformity</w:t>
      </w:r>
      <w:r>
        <w:t xml:space="preserve"> </w:t>
      </w:r>
      <w:r>
        <w:rPr>
          <w:b/>
        </w:rPr>
        <w:t>Emission Budgets on the Ozone Attainment Demonstration</w:t>
      </w:r>
      <w:bookmarkEnd w:id="106"/>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 xml:space="preserve">It is necessary to assess the impacts on the </w:t>
      </w:r>
      <w:r>
        <w:t>1-hour ozone SIP when the 1-hour budgets are updated to ensure that air quality progress is maintained.  In order to perform this comparison, the State's attainment demonstration and the USEPA's subsequent re-analyses of the attainment demonstration were e</w:t>
      </w:r>
      <w:r>
        <w:t xml:space="preserve">xamined in order to extract mobile onroad inventories which best represent conditions in both the base year and the attainment year.  Inventories for both of these years are needed because the weight of evidence method was used to demonstrate attainment.  </w:t>
      </w:r>
      <w:r>
        <w:t>A detailed description of the weight of evidence method is available in the 2003 MOBILE6 SIP revision.</w:t>
      </w:r>
      <w:r>
        <w:rPr>
          <w:rStyle w:val="FootnoteReference"/>
          <w:sz w:val="20"/>
          <w:vertAlign w:val="superscript"/>
        </w:rPr>
        <w:footnoteReference w:id="16"/>
      </w:r>
      <w:r>
        <w:t xml:space="preserve">  The determination of whether or not attainment is still demonstrated depends on the relative </w:t>
      </w:r>
      <w:bookmarkStart w:id="108" w:name="_Hlt126634113"/>
      <w:bookmarkEnd w:id="108"/>
      <w:r>
        <w:t>reduction of the ozone precursors between the base year an</w:t>
      </w:r>
      <w:r>
        <w:t>d the attainment year.  If these relative reductions with the updated inventories (consistent with the updated budgets) are equal to or greater than the relative reductions with the previous inventories (representative of the attainment demonstrations), th</w:t>
      </w:r>
      <w:r>
        <w:t>en attainment continues to be demonstrated.</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Inventories from the recent Rate of Progress SIP</w:t>
      </w:r>
      <w:r>
        <w:rPr>
          <w:rStyle w:val="FootnoteReference"/>
          <w:vertAlign w:val="superscript"/>
        </w:rPr>
        <w:footnoteReference w:id="17"/>
      </w:r>
      <w:r>
        <w:t xml:space="preserve"> were used to determine the required percent reduction in ozone precursors in order to achieve attainment by the attainment date of 2007.  The onroad mobile sourc</w:t>
      </w:r>
      <w:r>
        <w:t xml:space="preserve">e inventories from the Rate of Progress SIP are used for this attainment </w:t>
      </w:r>
      <w:r>
        <w:lastRenderedPageBreak/>
        <w:t>analysis because they are the most recent SIP-quality inventories prepared that include essentially all of the control measures anticipated for the areas to achieve attainment.  In ad</w:t>
      </w:r>
      <w:r>
        <w:t>dition, the Rate of Progress SIP inventories were prepared for the 1996 base year as well as the attainment year for the nonattainment area.  These inventories are the best available representations of the base year and attainment year inventories that for</w:t>
      </w:r>
      <w:r>
        <w:t>med the basis for the 1-hour ozone attainment demonstration so they are the appropriate inventories to use for this attainment analysis.</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results of the comparisons between the previous inventories (from the Rate of Progress SIP) and the updated invent</w:t>
      </w:r>
      <w:r>
        <w:t>ories are summarized in Table VI, which presents the relative reductions (expressed as percent reductions) in onroad mobile source ozone precursor inventories between the base year and the attainment year.  The differences in percent reductions are shown b</w:t>
      </w:r>
      <w:r>
        <w:t>etween the previous inventories and the updated inventories.  The updated inventories for 1996 were the same as those established in the 2003 MOBILE6 SIP except that the updated vehicle miles traveled-by-vehicle-type file was used.</w:t>
      </w:r>
      <w:r>
        <w:rPr>
          <w:rStyle w:val="FootnoteReference"/>
          <w:sz w:val="20"/>
          <w:vertAlign w:val="superscript"/>
        </w:rPr>
        <w:t xml:space="preserve"> </w:t>
      </w:r>
      <w:r>
        <w:rPr>
          <w:rStyle w:val="FootnoteReference"/>
          <w:sz w:val="20"/>
          <w:vertAlign w:val="superscript"/>
        </w:rPr>
        <w:footnoteReference w:id="18"/>
      </w:r>
      <w:r>
        <w:t xml:space="preserve">  The updated vehicle m</w:t>
      </w:r>
      <w:r>
        <w:t>iles traveled-by–vehicle-type data was used for both the base year and projection year runs because this change in planning assumptions represents an improvement in the methodology of estimating local conditions as opposed to a change in the actual conditi</w:t>
      </w:r>
      <w:r>
        <w:t xml:space="preserve">ons.  This contrasts with the update to the vehicle miles traveled adjustment and vehicle age distribution data that only applies to projection year runs and is not used for the 1996 run.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As a result of the use of the weight of evidence method for demons</w:t>
      </w:r>
      <w:r>
        <w:t>tration of attainment, increases in percent reductions mean that the updated inventories predict lower ozone precursor emissions in the attainment year relative to the base year.  Similarly, decreases in percent reductions mean that the updated inventories</w:t>
      </w:r>
      <w:r>
        <w:t xml:space="preserve"> predict higher ozone precursor emissions in the attainment year relative to the base year.  In Table VI, the magnitude that the ozone precursor emissions are lower or higher are represented by the calculated "increase" or "decrease", respectively.</w:t>
      </w:r>
    </w:p>
    <w:p w:rsidR="00000000" w:rsidRDefault="00C40079">
      <w:pPr>
        <w:pStyle w:val="Level2"/>
        <w:tabs>
          <w:tab w:val="left" w:pos="720"/>
          <w:tab w:val="left" w:pos="1080"/>
          <w:tab w:val="left" w:pos="1440"/>
          <w:tab w:val="left" w:pos="1800"/>
          <w:tab w:val="left" w:pos="2160"/>
        </w:tabs>
      </w:pPr>
      <w:r>
        <w:br w:type="page"/>
      </w:r>
    </w:p>
    <w:p w:rsidR="00000000" w:rsidRDefault="00C40079">
      <w:pPr>
        <w:pStyle w:val="Level2"/>
        <w:tabs>
          <w:tab w:val="left" w:pos="720"/>
          <w:tab w:val="left" w:pos="1080"/>
          <w:tab w:val="left" w:pos="1440"/>
          <w:tab w:val="left" w:pos="1800"/>
          <w:tab w:val="left" w:pos="2160"/>
        </w:tabs>
        <w:jc w:val="center"/>
        <w:rPr>
          <w:b/>
        </w:rPr>
      </w:pPr>
      <w:bookmarkStart w:id="109" w:name="Table_VI"/>
      <w:bookmarkStart w:id="110" w:name="_Hlt126641881"/>
      <w:bookmarkEnd w:id="110"/>
      <w:r>
        <w:rPr>
          <w:b/>
        </w:rPr>
        <w:t>Table</w:t>
      </w:r>
      <w:r>
        <w:rPr>
          <w:b/>
        </w:rPr>
        <w:t xml:space="preserve"> V</w:t>
      </w:r>
      <w:bookmarkEnd w:id="109"/>
      <w:r>
        <w:rPr>
          <w:b/>
        </w:rPr>
        <w:t>I</w:t>
      </w:r>
    </w:p>
    <w:p w:rsidR="00000000" w:rsidRDefault="00C40079">
      <w:pPr>
        <w:pStyle w:val="Level2"/>
        <w:tabs>
          <w:tab w:val="left" w:pos="720"/>
          <w:tab w:val="left" w:pos="1080"/>
          <w:tab w:val="left" w:pos="1440"/>
          <w:tab w:val="left" w:pos="1800"/>
          <w:tab w:val="left" w:pos="2160"/>
        </w:tabs>
        <w:jc w:val="center"/>
        <w:rPr>
          <w:b/>
        </w:rPr>
      </w:pPr>
      <w:r>
        <w:rPr>
          <w:b/>
        </w:rPr>
        <w:t xml:space="preserve">Comparison of the Onroad Previous Inventories to the Updated Onroad Inventories </w:t>
      </w:r>
    </w:p>
    <w:p w:rsidR="00000000" w:rsidRDefault="00C40079">
      <w:pPr>
        <w:pStyle w:val="Level2"/>
        <w:tabs>
          <w:tab w:val="left" w:pos="720"/>
          <w:tab w:val="left" w:pos="1080"/>
          <w:tab w:val="left" w:pos="1440"/>
          <w:tab w:val="left" w:pos="1800"/>
          <w:tab w:val="left" w:pos="2160"/>
        </w:tabs>
        <w:jc w:val="center"/>
      </w:pPr>
      <w:r>
        <w:rPr>
          <w:b/>
        </w:rPr>
        <w:t>(Tons Per Ozone Day Unless Designated Otherwise)</w:t>
      </w:r>
    </w:p>
    <w:p w:rsidR="00000000" w:rsidRDefault="00C40079">
      <w:pPr>
        <w:pStyle w:val="Level2"/>
        <w:tabs>
          <w:tab w:val="left" w:pos="720"/>
          <w:tab w:val="left" w:pos="1080"/>
          <w:tab w:val="left" w:pos="1440"/>
          <w:tab w:val="left" w:pos="1800"/>
          <w:tab w:val="left" w:pos="2160"/>
        </w:tabs>
      </w:pP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60"/>
        <w:gridCol w:w="1800"/>
        <w:gridCol w:w="1620"/>
      </w:tblGrid>
      <w:tr w:rsidR="00000000">
        <w:tblPrEx>
          <w:tblCellMar>
            <w:top w:w="0" w:type="dxa"/>
            <w:bottom w:w="0" w:type="dxa"/>
          </w:tblCellMar>
        </w:tblPrEx>
        <w:trPr>
          <w:cantSplit/>
          <w:trHeight w:val="1228"/>
          <w:tblHeader/>
        </w:trPr>
        <w:tc>
          <w:tcPr>
            <w:tcW w:w="6660" w:type="dxa"/>
            <w:vMerge w:val="restart"/>
            <w:tcBorders>
              <w:top w:val="triple" w:sz="4" w:space="0" w:color="auto"/>
              <w:left w:val="triple" w:sz="4" w:space="0" w:color="auto"/>
              <w:right w:val="single" w:sz="12" w:space="0" w:color="auto"/>
            </w:tcBorders>
          </w:tcPr>
          <w:p w:rsidR="00000000" w:rsidRDefault="00C40079">
            <w:pPr>
              <w:tabs>
                <w:tab w:val="left" w:pos="720"/>
                <w:tab w:val="left" w:pos="1080"/>
                <w:tab w:val="left" w:pos="1440"/>
                <w:tab w:val="left" w:pos="1800"/>
                <w:tab w:val="left" w:pos="2160"/>
              </w:tabs>
              <w:jc w:val="center"/>
              <w:rPr>
                <w:sz w:val="24"/>
              </w:rPr>
            </w:pPr>
          </w:p>
        </w:tc>
        <w:tc>
          <w:tcPr>
            <w:tcW w:w="3420" w:type="dxa"/>
            <w:gridSpan w:val="2"/>
            <w:tcBorders>
              <w:top w:val="triple" w:sz="4" w:space="0" w:color="auto"/>
              <w:left w:val="nil"/>
              <w:bottom w:val="triple" w:sz="4" w:space="0" w:color="auto"/>
              <w:right w:val="triple" w:sz="4" w:space="0" w:color="auto"/>
            </w:tcBorders>
            <w:shd w:val="pct5" w:color="auto" w:fill="FFFFFF"/>
            <w:vAlign w:val="center"/>
          </w:tcPr>
          <w:p w:rsidR="00000000" w:rsidRDefault="00C40079">
            <w:pPr>
              <w:tabs>
                <w:tab w:val="left" w:pos="720"/>
                <w:tab w:val="left" w:pos="1080"/>
                <w:tab w:val="left" w:pos="1440"/>
                <w:tab w:val="left" w:pos="1800"/>
                <w:tab w:val="left" w:pos="2160"/>
              </w:tabs>
              <w:jc w:val="center"/>
              <w:rPr>
                <w:b/>
                <w:sz w:val="24"/>
              </w:rPr>
            </w:pPr>
            <w:r>
              <w:rPr>
                <w:b/>
                <w:sz w:val="24"/>
              </w:rPr>
              <w:t>New Jersey Portion of the New York City/Northern New Jersey/Long Island  Area</w:t>
            </w:r>
            <w:r>
              <w:rPr>
                <w:b/>
                <w:sz w:val="24"/>
                <w:vertAlign w:val="superscript"/>
              </w:rPr>
              <w:t>(1)</w:t>
            </w:r>
          </w:p>
          <w:p w:rsidR="00000000" w:rsidRDefault="00C40079">
            <w:pPr>
              <w:tabs>
                <w:tab w:val="left" w:pos="720"/>
                <w:tab w:val="left" w:pos="1080"/>
                <w:tab w:val="left" w:pos="1440"/>
                <w:tab w:val="left" w:pos="1800"/>
                <w:tab w:val="left" w:pos="2160"/>
              </w:tabs>
              <w:jc w:val="center"/>
              <w:rPr>
                <w:b/>
                <w:sz w:val="24"/>
              </w:rPr>
            </w:pPr>
            <w:r>
              <w:rPr>
                <w:b/>
                <w:sz w:val="24"/>
              </w:rPr>
              <w:t>- 2007 Attainment Year -</w:t>
            </w:r>
          </w:p>
        </w:tc>
      </w:tr>
      <w:tr w:rsidR="00000000">
        <w:tblPrEx>
          <w:tblCellMar>
            <w:top w:w="0" w:type="dxa"/>
            <w:bottom w:w="0" w:type="dxa"/>
          </w:tblCellMar>
        </w:tblPrEx>
        <w:trPr>
          <w:cantSplit/>
          <w:trHeight w:val="337"/>
          <w:tblHeader/>
        </w:trPr>
        <w:tc>
          <w:tcPr>
            <w:tcW w:w="6660" w:type="dxa"/>
            <w:vMerge/>
            <w:tcBorders>
              <w:left w:val="triple" w:sz="4" w:space="0" w:color="auto"/>
              <w:bottom w:val="single" w:sz="12" w:space="0" w:color="auto"/>
              <w:right w:val="single" w:sz="12" w:space="0" w:color="auto"/>
            </w:tcBorders>
          </w:tcPr>
          <w:p w:rsidR="00000000" w:rsidRDefault="00C40079">
            <w:pPr>
              <w:tabs>
                <w:tab w:val="left" w:pos="720"/>
                <w:tab w:val="left" w:pos="1080"/>
                <w:tab w:val="left" w:pos="1440"/>
                <w:tab w:val="left" w:pos="1800"/>
                <w:tab w:val="left" w:pos="2160"/>
              </w:tabs>
              <w:jc w:val="center"/>
              <w:rPr>
                <w:sz w:val="24"/>
              </w:rPr>
            </w:pPr>
          </w:p>
        </w:tc>
        <w:tc>
          <w:tcPr>
            <w:tcW w:w="1800" w:type="dxa"/>
            <w:tcBorders>
              <w:top w:val="triple" w:sz="4" w:space="0" w:color="auto"/>
              <w:left w:val="nil"/>
              <w:bottom w:val="single" w:sz="12" w:space="0" w:color="auto"/>
              <w:right w:val="single" w:sz="6" w:space="0" w:color="auto"/>
            </w:tcBorders>
            <w:shd w:val="pct10" w:color="auto" w:fill="FFFFFF"/>
            <w:vAlign w:val="center"/>
          </w:tcPr>
          <w:p w:rsidR="00000000" w:rsidRDefault="00C40079">
            <w:pPr>
              <w:tabs>
                <w:tab w:val="left" w:pos="720"/>
                <w:tab w:val="left" w:pos="1080"/>
                <w:tab w:val="left" w:pos="1440"/>
                <w:tab w:val="left" w:pos="1800"/>
                <w:tab w:val="left" w:pos="2160"/>
              </w:tabs>
              <w:jc w:val="center"/>
              <w:rPr>
                <w:b/>
                <w:sz w:val="24"/>
              </w:rPr>
            </w:pPr>
            <w:r>
              <w:rPr>
                <w:b/>
                <w:sz w:val="24"/>
              </w:rPr>
              <w:t>VOC</w:t>
            </w:r>
          </w:p>
        </w:tc>
        <w:tc>
          <w:tcPr>
            <w:tcW w:w="1620" w:type="dxa"/>
            <w:tcBorders>
              <w:top w:val="triple" w:sz="4" w:space="0" w:color="auto"/>
              <w:left w:val="nil"/>
              <w:bottom w:val="single" w:sz="12" w:space="0" w:color="auto"/>
              <w:right w:val="triple" w:sz="4" w:space="0" w:color="auto"/>
            </w:tcBorders>
            <w:shd w:val="pct10" w:color="auto" w:fill="FFFFFF"/>
            <w:vAlign w:val="center"/>
          </w:tcPr>
          <w:p w:rsidR="00000000" w:rsidRDefault="00C40079">
            <w:pPr>
              <w:tabs>
                <w:tab w:val="left" w:pos="720"/>
                <w:tab w:val="left" w:pos="1080"/>
                <w:tab w:val="left" w:pos="1440"/>
                <w:tab w:val="left" w:pos="1800"/>
                <w:tab w:val="left" w:pos="2160"/>
              </w:tabs>
              <w:jc w:val="center"/>
              <w:rPr>
                <w:b/>
                <w:sz w:val="24"/>
              </w:rPr>
            </w:pPr>
            <w:r>
              <w:rPr>
                <w:b/>
                <w:sz w:val="24"/>
              </w:rPr>
              <w:t>NO</w:t>
            </w:r>
            <w:r>
              <w:rPr>
                <w:b/>
                <w:sz w:val="24"/>
                <w:vertAlign w:val="subscript"/>
              </w:rPr>
              <w:t>x</w:t>
            </w:r>
          </w:p>
        </w:tc>
      </w:tr>
      <w:tr w:rsidR="00000000">
        <w:tblPrEx>
          <w:tblCellMar>
            <w:top w:w="0" w:type="dxa"/>
            <w:bottom w:w="0" w:type="dxa"/>
          </w:tblCellMar>
        </w:tblPrEx>
        <w:trPr>
          <w:trHeight w:val="727"/>
        </w:trPr>
        <w:tc>
          <w:tcPr>
            <w:tcW w:w="6660" w:type="dxa"/>
            <w:tcBorders>
              <w:left w:val="triple" w:sz="4" w:space="0" w:color="auto"/>
              <w:bottom w:val="single" w:sz="8" w:space="0" w:color="auto"/>
              <w:right w:val="single" w:sz="12" w:space="0" w:color="auto"/>
            </w:tcBorders>
            <w:vAlign w:val="bottom"/>
          </w:tcPr>
          <w:p w:rsidR="00000000" w:rsidRDefault="00C40079">
            <w:pPr>
              <w:tabs>
                <w:tab w:val="left" w:pos="720"/>
                <w:tab w:val="left" w:pos="1080"/>
                <w:tab w:val="left" w:pos="1440"/>
                <w:tab w:val="left" w:pos="1800"/>
                <w:tab w:val="left" w:pos="2160"/>
              </w:tabs>
              <w:rPr>
                <w:sz w:val="24"/>
              </w:rPr>
            </w:pPr>
            <w:r>
              <w:rPr>
                <w:sz w:val="24"/>
              </w:rPr>
              <w:t>(1)</w:t>
            </w:r>
            <w:r>
              <w:rPr>
                <w:sz w:val="24"/>
              </w:rPr>
              <w:t xml:space="preserve"> Previous Inventory - 1996 </w:t>
            </w:r>
          </w:p>
          <w:p w:rsidR="00000000" w:rsidRDefault="00C40079">
            <w:pPr>
              <w:tabs>
                <w:tab w:val="left" w:pos="720"/>
                <w:tab w:val="left" w:pos="1080"/>
                <w:tab w:val="left" w:pos="1440"/>
                <w:tab w:val="left" w:pos="1800"/>
                <w:tab w:val="left" w:pos="2160"/>
              </w:tabs>
              <w:rPr>
                <w:sz w:val="24"/>
              </w:rPr>
            </w:pPr>
            <w:r>
              <w:rPr>
                <w:sz w:val="24"/>
              </w:rPr>
              <w:t>(2) Previous Inventory - Attainment Year</w:t>
            </w:r>
          </w:p>
        </w:tc>
        <w:tc>
          <w:tcPr>
            <w:tcW w:w="1800" w:type="dxa"/>
            <w:tcBorders>
              <w:top w:val="single" w:sz="8" w:space="0" w:color="auto"/>
              <w:left w:val="nil"/>
              <w:bottom w:val="single" w:sz="8" w:space="0" w:color="auto"/>
              <w:right w:val="single" w:sz="6" w:space="0" w:color="auto"/>
            </w:tcBorders>
            <w:vAlign w:val="bottom"/>
          </w:tcPr>
          <w:p w:rsidR="00000000" w:rsidRDefault="00C40079">
            <w:pPr>
              <w:tabs>
                <w:tab w:val="left" w:pos="720"/>
                <w:tab w:val="left" w:pos="1080"/>
                <w:tab w:val="left" w:pos="1440"/>
                <w:tab w:val="left" w:pos="1800"/>
                <w:tab w:val="left" w:pos="2160"/>
              </w:tabs>
              <w:jc w:val="center"/>
              <w:rPr>
                <w:sz w:val="24"/>
              </w:rPr>
            </w:pPr>
            <w:r>
              <w:rPr>
                <w:sz w:val="24"/>
              </w:rPr>
              <w:t>206.52</w:t>
            </w:r>
          </w:p>
          <w:p w:rsidR="00000000" w:rsidRDefault="00C40079">
            <w:pPr>
              <w:tabs>
                <w:tab w:val="left" w:pos="720"/>
                <w:tab w:val="left" w:pos="1080"/>
                <w:tab w:val="left" w:pos="1440"/>
                <w:tab w:val="left" w:pos="1800"/>
                <w:tab w:val="left" w:pos="2160"/>
              </w:tabs>
              <w:jc w:val="center"/>
              <w:rPr>
                <w:sz w:val="24"/>
              </w:rPr>
            </w:pPr>
            <w:r>
              <w:rPr>
                <w:sz w:val="24"/>
              </w:rPr>
              <w:t>89.82</w:t>
            </w:r>
          </w:p>
        </w:tc>
        <w:tc>
          <w:tcPr>
            <w:tcW w:w="1620" w:type="dxa"/>
            <w:tcBorders>
              <w:top w:val="single" w:sz="8" w:space="0" w:color="auto"/>
              <w:left w:val="nil"/>
              <w:bottom w:val="single" w:sz="8" w:space="0" w:color="auto"/>
              <w:right w:val="triple" w:sz="4" w:space="0" w:color="auto"/>
            </w:tcBorders>
            <w:vAlign w:val="bottom"/>
          </w:tcPr>
          <w:p w:rsidR="00000000" w:rsidRDefault="00C40079">
            <w:pPr>
              <w:tabs>
                <w:tab w:val="left" w:pos="720"/>
                <w:tab w:val="left" w:pos="1080"/>
                <w:tab w:val="left" w:pos="1440"/>
                <w:tab w:val="left" w:pos="1800"/>
                <w:tab w:val="left" w:pos="2160"/>
              </w:tabs>
              <w:jc w:val="center"/>
              <w:rPr>
                <w:sz w:val="24"/>
              </w:rPr>
            </w:pPr>
            <w:r>
              <w:rPr>
                <w:sz w:val="24"/>
              </w:rPr>
              <w:t>302.92</w:t>
            </w:r>
          </w:p>
          <w:p w:rsidR="00000000" w:rsidRDefault="00C40079">
            <w:pPr>
              <w:tabs>
                <w:tab w:val="left" w:pos="720"/>
                <w:tab w:val="left" w:pos="1080"/>
                <w:tab w:val="left" w:pos="1440"/>
                <w:tab w:val="left" w:pos="1800"/>
                <w:tab w:val="left" w:pos="2160"/>
              </w:tabs>
              <w:jc w:val="center"/>
              <w:rPr>
                <w:sz w:val="24"/>
              </w:rPr>
            </w:pPr>
            <w:r>
              <w:rPr>
                <w:sz w:val="24"/>
              </w:rPr>
              <w:t>165.11</w:t>
            </w:r>
          </w:p>
        </w:tc>
      </w:tr>
      <w:tr w:rsidR="00000000">
        <w:tblPrEx>
          <w:tblCellMar>
            <w:top w:w="0" w:type="dxa"/>
            <w:bottom w:w="0" w:type="dxa"/>
          </w:tblCellMar>
        </w:tblPrEx>
        <w:tc>
          <w:tcPr>
            <w:tcW w:w="6660" w:type="dxa"/>
            <w:tcBorders>
              <w:top w:val="single" w:sz="8" w:space="0" w:color="auto"/>
              <w:left w:val="triple" w:sz="4" w:space="0" w:color="auto"/>
              <w:right w:val="single" w:sz="12" w:space="0" w:color="auto"/>
            </w:tcBorders>
          </w:tcPr>
          <w:p w:rsidR="00000000" w:rsidRDefault="00C40079">
            <w:pPr>
              <w:tabs>
                <w:tab w:val="left" w:pos="720"/>
                <w:tab w:val="left" w:pos="1080"/>
                <w:tab w:val="left" w:pos="1440"/>
                <w:tab w:val="left" w:pos="1800"/>
                <w:tab w:val="left" w:pos="2160"/>
              </w:tabs>
              <w:rPr>
                <w:sz w:val="24"/>
              </w:rPr>
            </w:pPr>
            <w:r>
              <w:rPr>
                <w:sz w:val="24"/>
              </w:rPr>
              <w:t>(3) Previous Reductions  [(1) – (2)]</w:t>
            </w:r>
          </w:p>
          <w:p w:rsidR="00000000" w:rsidRDefault="00C40079">
            <w:pPr>
              <w:tabs>
                <w:tab w:val="left" w:pos="720"/>
                <w:tab w:val="left" w:pos="1080"/>
                <w:tab w:val="left" w:pos="1440"/>
                <w:tab w:val="left" w:pos="1800"/>
                <w:tab w:val="left" w:pos="2160"/>
              </w:tabs>
              <w:rPr>
                <w:sz w:val="24"/>
              </w:rPr>
            </w:pPr>
            <w:r>
              <w:rPr>
                <w:sz w:val="24"/>
              </w:rPr>
              <w:t xml:space="preserve">(4) Previous % Reductions  [(3) / (1) x 100%] </w:t>
            </w:r>
          </w:p>
        </w:tc>
        <w:tc>
          <w:tcPr>
            <w:tcW w:w="1800" w:type="dxa"/>
            <w:tcBorders>
              <w:top w:val="single" w:sz="8" w:space="0" w:color="auto"/>
              <w:left w:val="nil"/>
              <w:right w:val="single" w:sz="6" w:space="0" w:color="auto"/>
            </w:tcBorders>
          </w:tcPr>
          <w:p w:rsidR="00000000" w:rsidRDefault="00C40079">
            <w:pPr>
              <w:tabs>
                <w:tab w:val="left" w:pos="720"/>
                <w:tab w:val="left" w:pos="1080"/>
                <w:tab w:val="left" w:pos="1440"/>
                <w:tab w:val="left" w:pos="1800"/>
                <w:tab w:val="left" w:pos="2160"/>
              </w:tabs>
              <w:jc w:val="center"/>
              <w:rPr>
                <w:sz w:val="24"/>
              </w:rPr>
            </w:pPr>
            <w:r>
              <w:rPr>
                <w:sz w:val="24"/>
              </w:rPr>
              <w:t>116.70</w:t>
            </w:r>
          </w:p>
          <w:p w:rsidR="00000000" w:rsidRDefault="00C40079">
            <w:pPr>
              <w:tabs>
                <w:tab w:val="left" w:pos="720"/>
                <w:tab w:val="left" w:pos="1080"/>
                <w:tab w:val="left" w:pos="1440"/>
                <w:tab w:val="left" w:pos="1800"/>
                <w:tab w:val="left" w:pos="2160"/>
              </w:tabs>
              <w:jc w:val="center"/>
              <w:rPr>
                <w:sz w:val="24"/>
              </w:rPr>
            </w:pPr>
            <w:r>
              <w:rPr>
                <w:sz w:val="24"/>
              </w:rPr>
              <w:t>56.51%</w:t>
            </w:r>
          </w:p>
        </w:tc>
        <w:tc>
          <w:tcPr>
            <w:tcW w:w="1620" w:type="dxa"/>
            <w:tcBorders>
              <w:top w:val="single" w:sz="8" w:space="0" w:color="auto"/>
              <w:left w:val="nil"/>
              <w:right w:val="triple" w:sz="4" w:space="0" w:color="auto"/>
            </w:tcBorders>
          </w:tcPr>
          <w:p w:rsidR="00000000" w:rsidRDefault="00C40079">
            <w:pPr>
              <w:tabs>
                <w:tab w:val="left" w:pos="720"/>
                <w:tab w:val="left" w:pos="1080"/>
                <w:tab w:val="left" w:pos="1440"/>
                <w:tab w:val="left" w:pos="1800"/>
                <w:tab w:val="left" w:pos="2160"/>
              </w:tabs>
              <w:jc w:val="center"/>
              <w:rPr>
                <w:sz w:val="24"/>
              </w:rPr>
            </w:pPr>
            <w:r>
              <w:rPr>
                <w:sz w:val="24"/>
              </w:rPr>
              <w:t>137.81</w:t>
            </w:r>
          </w:p>
          <w:p w:rsidR="00000000" w:rsidRDefault="00C40079">
            <w:pPr>
              <w:tabs>
                <w:tab w:val="left" w:pos="720"/>
                <w:tab w:val="left" w:pos="1080"/>
                <w:tab w:val="left" w:pos="1440"/>
                <w:tab w:val="left" w:pos="1800"/>
                <w:tab w:val="left" w:pos="2160"/>
              </w:tabs>
              <w:jc w:val="center"/>
              <w:rPr>
                <w:sz w:val="24"/>
              </w:rPr>
            </w:pPr>
            <w:r>
              <w:rPr>
                <w:sz w:val="24"/>
              </w:rPr>
              <w:t>45.49%</w:t>
            </w:r>
          </w:p>
        </w:tc>
      </w:tr>
      <w:tr w:rsidR="00000000">
        <w:tblPrEx>
          <w:tblCellMar>
            <w:top w:w="0" w:type="dxa"/>
            <w:bottom w:w="0" w:type="dxa"/>
          </w:tblCellMar>
        </w:tblPrEx>
        <w:tc>
          <w:tcPr>
            <w:tcW w:w="6660" w:type="dxa"/>
            <w:tcBorders>
              <w:left w:val="triple" w:sz="4" w:space="0" w:color="auto"/>
              <w:bottom w:val="single" w:sz="8" w:space="0" w:color="auto"/>
              <w:right w:val="single" w:sz="12" w:space="0" w:color="auto"/>
            </w:tcBorders>
          </w:tcPr>
          <w:p w:rsidR="00000000" w:rsidRDefault="00C40079">
            <w:pPr>
              <w:tabs>
                <w:tab w:val="left" w:pos="720"/>
                <w:tab w:val="left" w:pos="1080"/>
                <w:tab w:val="left" w:pos="1440"/>
                <w:tab w:val="left" w:pos="1800"/>
                <w:tab w:val="left" w:pos="2160"/>
              </w:tabs>
              <w:rPr>
                <w:sz w:val="24"/>
              </w:rPr>
            </w:pPr>
            <w:r>
              <w:rPr>
                <w:sz w:val="24"/>
              </w:rPr>
              <w:t xml:space="preserve">(5) Updated  -  1996 </w:t>
            </w:r>
          </w:p>
          <w:p w:rsidR="00000000" w:rsidRDefault="00C40079">
            <w:pPr>
              <w:tabs>
                <w:tab w:val="left" w:pos="720"/>
                <w:tab w:val="left" w:pos="1080"/>
                <w:tab w:val="left" w:pos="1440"/>
                <w:tab w:val="left" w:pos="1800"/>
                <w:tab w:val="left" w:pos="2160"/>
              </w:tabs>
              <w:rPr>
                <w:sz w:val="24"/>
              </w:rPr>
            </w:pPr>
            <w:r>
              <w:rPr>
                <w:sz w:val="24"/>
              </w:rPr>
              <w:t>(6) Updated  -  Attainme</w:t>
            </w:r>
            <w:r>
              <w:rPr>
                <w:sz w:val="24"/>
              </w:rPr>
              <w:t xml:space="preserve">nt Year </w:t>
            </w:r>
          </w:p>
        </w:tc>
        <w:tc>
          <w:tcPr>
            <w:tcW w:w="1800" w:type="dxa"/>
            <w:tcBorders>
              <w:left w:val="nil"/>
              <w:bottom w:val="single" w:sz="8" w:space="0" w:color="auto"/>
              <w:right w:val="single" w:sz="6" w:space="0" w:color="auto"/>
            </w:tcBorders>
          </w:tcPr>
          <w:p w:rsidR="00000000" w:rsidRDefault="00C40079">
            <w:pPr>
              <w:tabs>
                <w:tab w:val="left" w:pos="720"/>
                <w:tab w:val="left" w:pos="1080"/>
                <w:tab w:val="left" w:pos="1440"/>
                <w:tab w:val="left" w:pos="1800"/>
                <w:tab w:val="left" w:pos="2160"/>
              </w:tabs>
              <w:jc w:val="center"/>
              <w:rPr>
                <w:sz w:val="24"/>
              </w:rPr>
            </w:pPr>
            <w:r>
              <w:rPr>
                <w:sz w:val="24"/>
              </w:rPr>
              <w:t>306.50</w:t>
            </w:r>
          </w:p>
          <w:p w:rsidR="00000000" w:rsidRDefault="00C40079">
            <w:pPr>
              <w:tabs>
                <w:tab w:val="left" w:pos="720"/>
                <w:tab w:val="left" w:pos="1080"/>
                <w:tab w:val="left" w:pos="1440"/>
                <w:tab w:val="left" w:pos="1800"/>
                <w:tab w:val="left" w:pos="2160"/>
              </w:tabs>
              <w:jc w:val="center"/>
              <w:rPr>
                <w:sz w:val="24"/>
              </w:rPr>
            </w:pPr>
            <w:r>
              <w:rPr>
                <w:sz w:val="24"/>
              </w:rPr>
              <w:t>119.29</w:t>
            </w:r>
          </w:p>
        </w:tc>
        <w:tc>
          <w:tcPr>
            <w:tcW w:w="1620" w:type="dxa"/>
            <w:tcBorders>
              <w:left w:val="nil"/>
              <w:bottom w:val="single" w:sz="8" w:space="0" w:color="auto"/>
              <w:right w:val="triple" w:sz="4" w:space="0" w:color="auto"/>
            </w:tcBorders>
          </w:tcPr>
          <w:p w:rsidR="00000000" w:rsidRDefault="00C40079">
            <w:pPr>
              <w:tabs>
                <w:tab w:val="left" w:pos="720"/>
                <w:tab w:val="left" w:pos="1080"/>
                <w:tab w:val="left" w:pos="1440"/>
                <w:tab w:val="left" w:pos="1800"/>
                <w:tab w:val="left" w:pos="2160"/>
              </w:tabs>
              <w:jc w:val="center"/>
              <w:rPr>
                <w:sz w:val="24"/>
              </w:rPr>
            </w:pPr>
            <w:r>
              <w:rPr>
                <w:sz w:val="24"/>
              </w:rPr>
              <w:t>439.88</w:t>
            </w:r>
          </w:p>
          <w:p w:rsidR="00000000" w:rsidRDefault="00C40079">
            <w:pPr>
              <w:tabs>
                <w:tab w:val="left" w:pos="720"/>
                <w:tab w:val="left" w:pos="1080"/>
                <w:tab w:val="left" w:pos="1440"/>
                <w:tab w:val="left" w:pos="1800"/>
                <w:tab w:val="left" w:pos="2160"/>
              </w:tabs>
              <w:jc w:val="center"/>
              <w:rPr>
                <w:sz w:val="24"/>
              </w:rPr>
            </w:pPr>
            <w:r>
              <w:rPr>
                <w:sz w:val="24"/>
              </w:rPr>
              <w:t>245.87</w:t>
            </w:r>
          </w:p>
        </w:tc>
      </w:tr>
      <w:tr w:rsidR="00000000">
        <w:tblPrEx>
          <w:tblCellMar>
            <w:top w:w="0" w:type="dxa"/>
            <w:bottom w:w="0" w:type="dxa"/>
          </w:tblCellMar>
        </w:tblPrEx>
        <w:tc>
          <w:tcPr>
            <w:tcW w:w="6660" w:type="dxa"/>
            <w:tcBorders>
              <w:top w:val="single" w:sz="8" w:space="0" w:color="auto"/>
              <w:left w:val="triple" w:sz="4" w:space="0" w:color="auto"/>
              <w:right w:val="single" w:sz="12" w:space="0" w:color="auto"/>
            </w:tcBorders>
          </w:tcPr>
          <w:p w:rsidR="00000000" w:rsidRDefault="00C40079">
            <w:pPr>
              <w:pStyle w:val="Level2"/>
              <w:widowControl/>
              <w:tabs>
                <w:tab w:val="left" w:pos="720"/>
                <w:tab w:val="left" w:pos="1080"/>
                <w:tab w:val="left" w:pos="1440"/>
                <w:tab w:val="left" w:pos="1800"/>
                <w:tab w:val="left" w:pos="2160"/>
              </w:tabs>
            </w:pPr>
            <w:r>
              <w:t>(7) Updated  -  Reductions  [(5) – (6)]</w:t>
            </w:r>
          </w:p>
          <w:p w:rsidR="00000000" w:rsidRDefault="00C40079">
            <w:pPr>
              <w:tabs>
                <w:tab w:val="left" w:pos="720"/>
                <w:tab w:val="left" w:pos="1080"/>
                <w:tab w:val="left" w:pos="1440"/>
                <w:tab w:val="left" w:pos="1800"/>
                <w:tab w:val="left" w:pos="2160"/>
              </w:tabs>
              <w:rPr>
                <w:sz w:val="24"/>
              </w:rPr>
            </w:pPr>
            <w:r>
              <w:rPr>
                <w:sz w:val="24"/>
              </w:rPr>
              <w:t>(8) Updated  -  % Reductions  [(7) / (5) x 100%]</w:t>
            </w:r>
          </w:p>
        </w:tc>
        <w:tc>
          <w:tcPr>
            <w:tcW w:w="1800" w:type="dxa"/>
            <w:tcBorders>
              <w:top w:val="single" w:sz="8" w:space="0" w:color="auto"/>
              <w:left w:val="nil"/>
              <w:right w:val="single" w:sz="6" w:space="0" w:color="auto"/>
            </w:tcBorders>
          </w:tcPr>
          <w:p w:rsidR="00000000" w:rsidRDefault="00C40079">
            <w:pPr>
              <w:tabs>
                <w:tab w:val="left" w:pos="720"/>
                <w:tab w:val="left" w:pos="1080"/>
                <w:tab w:val="left" w:pos="1440"/>
                <w:tab w:val="left" w:pos="1800"/>
                <w:tab w:val="left" w:pos="2160"/>
              </w:tabs>
              <w:jc w:val="center"/>
              <w:rPr>
                <w:sz w:val="24"/>
              </w:rPr>
            </w:pPr>
            <w:r>
              <w:rPr>
                <w:sz w:val="24"/>
              </w:rPr>
              <w:t>187.21</w:t>
            </w:r>
          </w:p>
          <w:p w:rsidR="00000000" w:rsidRDefault="00C40079">
            <w:pPr>
              <w:tabs>
                <w:tab w:val="left" w:pos="720"/>
                <w:tab w:val="left" w:pos="1080"/>
                <w:tab w:val="left" w:pos="1440"/>
                <w:tab w:val="left" w:pos="1800"/>
                <w:tab w:val="left" w:pos="2160"/>
              </w:tabs>
              <w:jc w:val="center"/>
              <w:rPr>
                <w:sz w:val="24"/>
              </w:rPr>
            </w:pPr>
            <w:r>
              <w:rPr>
                <w:sz w:val="24"/>
              </w:rPr>
              <w:t xml:space="preserve"> 61.08%</w:t>
            </w:r>
          </w:p>
        </w:tc>
        <w:tc>
          <w:tcPr>
            <w:tcW w:w="1620" w:type="dxa"/>
            <w:tcBorders>
              <w:top w:val="single" w:sz="8" w:space="0" w:color="auto"/>
              <w:left w:val="nil"/>
              <w:right w:val="triple" w:sz="4" w:space="0" w:color="auto"/>
            </w:tcBorders>
          </w:tcPr>
          <w:p w:rsidR="00000000" w:rsidRDefault="00C40079">
            <w:pPr>
              <w:tabs>
                <w:tab w:val="left" w:pos="720"/>
                <w:tab w:val="left" w:pos="1080"/>
                <w:tab w:val="left" w:pos="1440"/>
                <w:tab w:val="left" w:pos="1800"/>
                <w:tab w:val="left" w:pos="2160"/>
              </w:tabs>
              <w:jc w:val="center"/>
              <w:rPr>
                <w:sz w:val="24"/>
              </w:rPr>
            </w:pPr>
            <w:r>
              <w:rPr>
                <w:sz w:val="24"/>
              </w:rPr>
              <w:t>194.01</w:t>
            </w:r>
          </w:p>
          <w:p w:rsidR="00000000" w:rsidRDefault="00C40079">
            <w:pPr>
              <w:tabs>
                <w:tab w:val="left" w:pos="720"/>
                <w:tab w:val="left" w:pos="1080"/>
                <w:tab w:val="left" w:pos="1440"/>
                <w:tab w:val="left" w:pos="1800"/>
                <w:tab w:val="left" w:pos="2160"/>
              </w:tabs>
              <w:jc w:val="center"/>
              <w:rPr>
                <w:sz w:val="24"/>
              </w:rPr>
            </w:pPr>
            <w:r>
              <w:rPr>
                <w:sz w:val="24"/>
              </w:rPr>
              <w:t xml:space="preserve"> 44.11%</w:t>
            </w:r>
          </w:p>
        </w:tc>
      </w:tr>
      <w:tr w:rsidR="00000000">
        <w:tblPrEx>
          <w:tblCellMar>
            <w:top w:w="0" w:type="dxa"/>
            <w:bottom w:w="0" w:type="dxa"/>
          </w:tblCellMar>
        </w:tblPrEx>
        <w:tc>
          <w:tcPr>
            <w:tcW w:w="6660" w:type="dxa"/>
            <w:tcBorders>
              <w:left w:val="triple" w:sz="4" w:space="0" w:color="auto"/>
              <w:right w:val="single" w:sz="12" w:space="0" w:color="auto"/>
            </w:tcBorders>
          </w:tcPr>
          <w:p w:rsidR="00000000" w:rsidRDefault="00C40079">
            <w:pPr>
              <w:tabs>
                <w:tab w:val="left" w:pos="720"/>
                <w:tab w:val="left" w:pos="1080"/>
                <w:tab w:val="left" w:pos="1440"/>
                <w:tab w:val="left" w:pos="1800"/>
                <w:tab w:val="left" w:pos="2160"/>
              </w:tabs>
              <w:rPr>
                <w:sz w:val="24"/>
              </w:rPr>
            </w:pPr>
            <w:r>
              <w:rPr>
                <w:sz w:val="24"/>
              </w:rPr>
              <w:t>(9) Difference in % Reductions  [(8) – (4)]</w:t>
            </w:r>
          </w:p>
          <w:p w:rsidR="00000000" w:rsidRDefault="00C40079">
            <w:pPr>
              <w:tabs>
                <w:tab w:val="left" w:pos="720"/>
                <w:tab w:val="left" w:pos="1080"/>
                <w:tab w:val="left" w:pos="1440"/>
                <w:tab w:val="left" w:pos="1800"/>
                <w:tab w:val="left" w:pos="2160"/>
              </w:tabs>
              <w:rPr>
                <w:sz w:val="24"/>
              </w:rPr>
            </w:pPr>
            <w:r>
              <w:rPr>
                <w:sz w:val="24"/>
              </w:rPr>
              <w:t>Note that positive values represent increases in perce</w:t>
            </w:r>
            <w:r>
              <w:rPr>
                <w:sz w:val="24"/>
              </w:rPr>
              <w:t>nt reductions.</w:t>
            </w:r>
          </w:p>
        </w:tc>
        <w:tc>
          <w:tcPr>
            <w:tcW w:w="1800" w:type="dxa"/>
            <w:tcBorders>
              <w:left w:val="nil"/>
              <w:right w:val="single" w:sz="6" w:space="0" w:color="auto"/>
            </w:tcBorders>
          </w:tcPr>
          <w:p w:rsidR="00000000" w:rsidRDefault="00C40079">
            <w:pPr>
              <w:tabs>
                <w:tab w:val="left" w:pos="720"/>
                <w:tab w:val="left" w:pos="1080"/>
                <w:tab w:val="left" w:pos="1440"/>
                <w:tab w:val="left" w:pos="1800"/>
                <w:tab w:val="left" w:pos="2160"/>
              </w:tabs>
              <w:rPr>
                <w:sz w:val="24"/>
              </w:rPr>
            </w:pPr>
            <w:r>
              <w:rPr>
                <w:sz w:val="24"/>
              </w:rPr>
              <w:t xml:space="preserve">       +4.57%</w:t>
            </w:r>
          </w:p>
        </w:tc>
        <w:tc>
          <w:tcPr>
            <w:tcW w:w="1620" w:type="dxa"/>
            <w:tcBorders>
              <w:left w:val="nil"/>
              <w:right w:val="triple" w:sz="4" w:space="0" w:color="auto"/>
            </w:tcBorders>
          </w:tcPr>
          <w:p w:rsidR="00000000" w:rsidRDefault="00C40079">
            <w:pPr>
              <w:tabs>
                <w:tab w:val="left" w:pos="720"/>
                <w:tab w:val="left" w:pos="1080"/>
                <w:tab w:val="left" w:pos="1440"/>
                <w:tab w:val="left" w:pos="1800"/>
                <w:tab w:val="left" w:pos="2160"/>
              </w:tabs>
              <w:rPr>
                <w:sz w:val="24"/>
              </w:rPr>
            </w:pPr>
            <w:r>
              <w:rPr>
                <w:sz w:val="24"/>
              </w:rPr>
              <w:t xml:space="preserve">      -138%</w:t>
            </w:r>
          </w:p>
        </w:tc>
      </w:tr>
      <w:tr w:rsidR="00000000">
        <w:tblPrEx>
          <w:tblCellMar>
            <w:top w:w="0" w:type="dxa"/>
            <w:bottom w:w="0" w:type="dxa"/>
          </w:tblCellMar>
        </w:tblPrEx>
        <w:trPr>
          <w:trHeight w:val="422"/>
        </w:trPr>
        <w:tc>
          <w:tcPr>
            <w:tcW w:w="6660" w:type="dxa"/>
            <w:tcBorders>
              <w:left w:val="triple" w:sz="4" w:space="0" w:color="auto"/>
              <w:bottom w:val="triple" w:sz="4" w:space="0" w:color="auto"/>
              <w:right w:val="single" w:sz="12" w:space="0" w:color="auto"/>
            </w:tcBorders>
          </w:tcPr>
          <w:p w:rsidR="00000000" w:rsidRDefault="00C40079">
            <w:pPr>
              <w:tabs>
                <w:tab w:val="left" w:pos="720"/>
                <w:tab w:val="left" w:pos="1080"/>
                <w:tab w:val="left" w:pos="1440"/>
                <w:tab w:val="left" w:pos="1800"/>
                <w:tab w:val="left" w:pos="2160"/>
              </w:tabs>
              <w:rPr>
                <w:sz w:val="24"/>
              </w:rPr>
            </w:pPr>
            <w:r>
              <w:rPr>
                <w:sz w:val="24"/>
              </w:rPr>
              <w:t>(10) Emission reduction increase (+) or decrease (-</w:t>
            </w:r>
            <w:r>
              <w:rPr>
                <w:sz w:val="24"/>
              </w:rPr>
              <w:softHyphen/>
              <w:t>) in tons per day</w:t>
            </w:r>
            <w:r>
              <w:rPr>
                <w:sz w:val="24"/>
                <w:vertAlign w:val="superscript"/>
              </w:rPr>
              <w:t>(2)</w:t>
            </w:r>
            <w:r>
              <w:rPr>
                <w:sz w:val="24"/>
              </w:rPr>
              <w:t xml:space="preserve">  [((9) / 100%) x (5)]</w:t>
            </w:r>
          </w:p>
        </w:tc>
        <w:tc>
          <w:tcPr>
            <w:tcW w:w="1800" w:type="dxa"/>
            <w:tcBorders>
              <w:left w:val="nil"/>
              <w:bottom w:val="triple" w:sz="4" w:space="0" w:color="auto"/>
              <w:right w:val="single" w:sz="6" w:space="0" w:color="auto"/>
            </w:tcBorders>
          </w:tcPr>
          <w:p w:rsidR="00000000" w:rsidRDefault="00C40079">
            <w:pPr>
              <w:tabs>
                <w:tab w:val="left" w:pos="720"/>
                <w:tab w:val="left" w:pos="1080"/>
                <w:tab w:val="left" w:pos="1440"/>
                <w:tab w:val="left" w:pos="1800"/>
                <w:tab w:val="left" w:pos="2160"/>
              </w:tabs>
              <w:rPr>
                <w:sz w:val="24"/>
              </w:rPr>
            </w:pPr>
            <w:r>
              <w:rPr>
                <w:sz w:val="24"/>
              </w:rPr>
              <w:t xml:space="preserve">      +14.01</w:t>
            </w:r>
          </w:p>
        </w:tc>
        <w:tc>
          <w:tcPr>
            <w:tcW w:w="1620" w:type="dxa"/>
            <w:tcBorders>
              <w:left w:val="nil"/>
              <w:bottom w:val="triple" w:sz="4" w:space="0" w:color="auto"/>
              <w:right w:val="triple" w:sz="4" w:space="0" w:color="auto"/>
            </w:tcBorders>
          </w:tcPr>
          <w:p w:rsidR="00000000" w:rsidRDefault="00C40079">
            <w:pPr>
              <w:tabs>
                <w:tab w:val="left" w:pos="720"/>
                <w:tab w:val="left" w:pos="1080"/>
                <w:tab w:val="left" w:pos="1440"/>
                <w:tab w:val="left" w:pos="1800"/>
                <w:tab w:val="left" w:pos="2160"/>
              </w:tabs>
              <w:rPr>
                <w:sz w:val="24"/>
              </w:rPr>
            </w:pPr>
            <w:r>
              <w:rPr>
                <w:sz w:val="24"/>
              </w:rPr>
              <w:t xml:space="preserve">      -6.09</w:t>
            </w:r>
          </w:p>
        </w:tc>
      </w:tr>
    </w:tbl>
    <w:p w:rsidR="00000000" w:rsidRDefault="00C40079">
      <w:pPr>
        <w:pStyle w:val="Level2"/>
        <w:tabs>
          <w:tab w:val="left" w:pos="720"/>
          <w:tab w:val="left" w:pos="1080"/>
          <w:tab w:val="left" w:pos="1440"/>
          <w:tab w:val="left" w:pos="1800"/>
          <w:tab w:val="left" w:pos="2160"/>
        </w:tabs>
        <w:rPr>
          <w:sz w:val="22"/>
        </w:rPr>
      </w:pPr>
      <w:r>
        <w:rPr>
          <w:sz w:val="22"/>
        </w:rPr>
        <w:t xml:space="preserve">NOTES: </w:t>
      </w:r>
    </w:p>
    <w:p w:rsidR="00000000" w:rsidRDefault="00C40079">
      <w:pPr>
        <w:pStyle w:val="Level2"/>
        <w:numPr>
          <w:ilvl w:val="0"/>
          <w:numId w:val="26"/>
        </w:numPr>
        <w:tabs>
          <w:tab w:val="left" w:pos="720"/>
          <w:tab w:val="left" w:pos="1080"/>
          <w:tab w:val="left" w:pos="1440"/>
          <w:tab w:val="left" w:pos="1800"/>
          <w:tab w:val="left" w:pos="2160"/>
        </w:tabs>
        <w:rPr>
          <w:sz w:val="22"/>
        </w:rPr>
      </w:pPr>
      <w:r>
        <w:rPr>
          <w:sz w:val="22"/>
        </w:rPr>
        <w:t>This area includes all of the North Jersey Transportation Planning Authority counties</w:t>
      </w:r>
      <w:r>
        <w:rPr>
          <w:sz w:val="22"/>
        </w:rPr>
        <w:t xml:space="preserve"> except for Warren County.  These emissions differ from the transportation conformity budgets because the budgets include all of the North Jersey Transportation Planning Authority counties including Warren County.</w:t>
      </w:r>
    </w:p>
    <w:p w:rsidR="00000000" w:rsidRDefault="00C40079">
      <w:pPr>
        <w:pStyle w:val="Level2"/>
        <w:numPr>
          <w:ilvl w:val="0"/>
          <w:numId w:val="26"/>
        </w:numPr>
        <w:tabs>
          <w:tab w:val="left" w:pos="720"/>
          <w:tab w:val="left" w:pos="1080"/>
          <w:tab w:val="left" w:pos="1440"/>
          <w:tab w:val="left" w:pos="1800"/>
          <w:tab w:val="left" w:pos="2160"/>
        </w:tabs>
        <w:rPr>
          <w:sz w:val="22"/>
        </w:rPr>
      </w:pPr>
      <w:r>
        <w:rPr>
          <w:sz w:val="22"/>
        </w:rPr>
        <w:t>The "increase" or "decrease" was calculate</w:t>
      </w:r>
      <w:r>
        <w:rPr>
          <w:sz w:val="22"/>
        </w:rPr>
        <w:t>d by multiplying the differences in percent reductions by the 1996 updated inventories.  These "increases" and "decreases" are calculated only for the purpose of demonstrating if the updated inventories continue to meet the objectives of the attainment dem</w:t>
      </w:r>
      <w:r>
        <w:rPr>
          <w:sz w:val="22"/>
        </w:rPr>
        <w:t>onstration.</w:t>
      </w:r>
    </w:p>
    <w:p w:rsidR="00000000" w:rsidRDefault="00C40079">
      <w:pPr>
        <w:pStyle w:val="Level2"/>
        <w:tabs>
          <w:tab w:val="left" w:pos="720"/>
          <w:tab w:val="left" w:pos="1080"/>
          <w:tab w:val="left" w:pos="1440"/>
          <w:tab w:val="left" w:pos="1800"/>
          <w:tab w:val="left" w:pos="2160"/>
        </w:tabs>
      </w:pPr>
    </w:p>
    <w:p w:rsidR="00000000" w:rsidRDefault="00C40079">
      <w:pPr>
        <w:rPr>
          <w:sz w:val="24"/>
        </w:rPr>
      </w:pPr>
      <w:r>
        <w:rPr>
          <w:sz w:val="24"/>
        </w:rPr>
        <w:t>The results summarized in Table VI indicate that the updated inventories predict that VOC emissions in the attainment year relative to the base year are lower, i.e., an “increase” of 14.01 tons per day. However, the updated inventories predict</w:t>
      </w:r>
      <w:r>
        <w:rPr>
          <w:sz w:val="24"/>
        </w:rPr>
        <w:t xml:space="preserve"> that NO</w:t>
      </w:r>
      <w:r>
        <w:rPr>
          <w:sz w:val="24"/>
          <w:vertAlign w:val="subscript"/>
        </w:rPr>
        <w:t>x</w:t>
      </w:r>
      <w:r>
        <w:rPr>
          <w:sz w:val="24"/>
        </w:rPr>
        <w:t xml:space="preserve"> emissions in the attainment year relative to the base year are higher, i.e., a “decrease” of 6.09 tons per day.  In order to evaluate the net effect of these changes, a means of substitution of VOC reductions with NO</w:t>
      </w:r>
      <w:r>
        <w:rPr>
          <w:sz w:val="24"/>
          <w:vertAlign w:val="subscript"/>
        </w:rPr>
        <w:t>x</w:t>
      </w:r>
      <w:r>
        <w:rPr>
          <w:sz w:val="24"/>
        </w:rPr>
        <w:t xml:space="preserve"> reductions is needed. The fo</w:t>
      </w:r>
      <w:r>
        <w:rPr>
          <w:sz w:val="24"/>
        </w:rPr>
        <w:t>llowing substitution methodology was developed based on the methodology developed in a prior SIP revision by New Jersey that was approved by the USEPA.</w:t>
      </w:r>
      <w:r>
        <w:rPr>
          <w:rStyle w:val="FootnoteReference"/>
          <w:sz w:val="24"/>
          <w:vertAlign w:val="superscript"/>
        </w:rPr>
        <w:footnoteReference w:id="19"/>
      </w:r>
      <w:r>
        <w:rPr>
          <w:sz w:val="24"/>
        </w:rPr>
        <w:t xml:space="preserve"> </w:t>
      </w:r>
    </w:p>
    <w:p w:rsidR="00000000" w:rsidRDefault="00C40079">
      <w:pPr>
        <w:rPr>
          <w:sz w:val="24"/>
        </w:rPr>
      </w:pPr>
    </w:p>
    <w:p w:rsidR="00000000" w:rsidRDefault="00C40079">
      <w:pPr>
        <w:rPr>
          <w:sz w:val="24"/>
        </w:rPr>
      </w:pPr>
      <w:r>
        <w:rPr>
          <w:sz w:val="24"/>
        </w:rPr>
        <w:lastRenderedPageBreak/>
        <w:t xml:space="preserve">42 U.S.C. </w:t>
      </w:r>
      <w:r>
        <w:t>§</w:t>
      </w:r>
      <w:r>
        <w:rPr>
          <w:sz w:val="24"/>
        </w:rPr>
        <w:t>7511a. allows for the substitution of VOC emission reductions with NO</w:t>
      </w:r>
      <w:r>
        <w:rPr>
          <w:sz w:val="24"/>
          <w:vertAlign w:val="subscript"/>
        </w:rPr>
        <w:t>x</w:t>
      </w:r>
      <w:r>
        <w:rPr>
          <w:sz w:val="24"/>
        </w:rPr>
        <w:t xml:space="preserve"> emission reductions</w:t>
      </w:r>
      <w:r>
        <w:rPr>
          <w:sz w:val="24"/>
        </w:rPr>
        <w:t>. Consistent with the USEPA guidance on NO</w:t>
      </w:r>
      <w:r>
        <w:rPr>
          <w:sz w:val="24"/>
          <w:vertAlign w:val="subscript"/>
        </w:rPr>
        <w:t>x</w:t>
      </w:r>
      <w:r>
        <w:rPr>
          <w:sz w:val="24"/>
        </w:rPr>
        <w:t xml:space="preserve"> substitution,</w:t>
      </w:r>
      <w:r>
        <w:rPr>
          <w:rStyle w:val="FootnoteReference"/>
          <w:sz w:val="24"/>
          <w:vertAlign w:val="superscript"/>
        </w:rPr>
        <w:footnoteReference w:id="20"/>
      </w:r>
      <w:r>
        <w:rPr>
          <w:sz w:val="24"/>
        </w:rPr>
        <w:t xml:space="preserve"> for substitution to be acceptable it must be demonstrated that such substitution yields equivalent ozone results. The air quality modeling in New</w:t>
      </w:r>
      <w:r>
        <w:t xml:space="preserve"> </w:t>
      </w:r>
      <w:r>
        <w:rPr>
          <w:sz w:val="24"/>
        </w:rPr>
        <w:t>Jersey’s Phase I Ozone SIP</w:t>
      </w:r>
      <w:r>
        <w:rPr>
          <w:rStyle w:val="FootnoteReference"/>
          <w:sz w:val="24"/>
          <w:vertAlign w:val="superscript"/>
        </w:rPr>
        <w:footnoteReference w:id="21"/>
      </w:r>
      <w:r>
        <w:rPr>
          <w:sz w:val="24"/>
        </w:rPr>
        <w:t xml:space="preserve"> provided such an equiva</w:t>
      </w:r>
      <w:r>
        <w:rPr>
          <w:sz w:val="24"/>
        </w:rPr>
        <w:t>lency demonstration for the nonattainment area. In order to make the substitution in this case, a VOC to NO</w:t>
      </w:r>
      <w:r>
        <w:rPr>
          <w:sz w:val="24"/>
          <w:vertAlign w:val="subscript"/>
        </w:rPr>
        <w:t>x</w:t>
      </w:r>
      <w:r>
        <w:rPr>
          <w:sz w:val="24"/>
        </w:rPr>
        <w:t xml:space="preserve"> emissions ratio for the entire Northern New Jersey/New York City/Long Island Nonattainment Area was calculated. This calculation is presented in Ap</w:t>
      </w:r>
      <w:r>
        <w:rPr>
          <w:sz w:val="24"/>
        </w:rPr>
        <w:t>pendix C.  First, the VOC and NO</w:t>
      </w:r>
      <w:r>
        <w:rPr>
          <w:sz w:val="24"/>
          <w:vertAlign w:val="subscript"/>
        </w:rPr>
        <w:t>x</w:t>
      </w:r>
      <w:r>
        <w:rPr>
          <w:sz w:val="24"/>
        </w:rPr>
        <w:t xml:space="preserve"> emission inventories for the counties from</w:t>
      </w:r>
      <w:r>
        <w:rPr>
          <w:b/>
          <w:sz w:val="24"/>
        </w:rPr>
        <w:t xml:space="preserve"> </w:t>
      </w:r>
      <w:r>
        <w:rPr>
          <w:sz w:val="24"/>
        </w:rPr>
        <w:t>the various states in the nonattainment area were totaled.  A VOC to NO</w:t>
      </w:r>
      <w:r>
        <w:rPr>
          <w:sz w:val="24"/>
          <w:vertAlign w:val="subscript"/>
        </w:rPr>
        <w:t>x</w:t>
      </w:r>
      <w:r>
        <w:rPr>
          <w:sz w:val="24"/>
        </w:rPr>
        <w:t xml:space="preserve"> ratio of 1.29 was derived from these data, i.e., 1 ton of NO</w:t>
      </w:r>
      <w:r>
        <w:rPr>
          <w:sz w:val="24"/>
          <w:vertAlign w:val="subscript"/>
        </w:rPr>
        <w:t>x</w:t>
      </w:r>
      <w:r>
        <w:rPr>
          <w:sz w:val="24"/>
        </w:rPr>
        <w:t xml:space="preserve"> emission reduction is equivalent to 1.29 ton</w:t>
      </w:r>
      <w:r>
        <w:rPr>
          <w:sz w:val="24"/>
        </w:rPr>
        <w:t xml:space="preserve">s of VOC in terms of ozone reduction. </w:t>
      </w:r>
    </w:p>
    <w:p w:rsidR="00000000" w:rsidRDefault="00C40079">
      <w:pPr>
        <w:rPr>
          <w:sz w:val="24"/>
        </w:rPr>
      </w:pPr>
    </w:p>
    <w:p w:rsidR="00000000" w:rsidRDefault="00C40079">
      <w:pPr>
        <w:pStyle w:val="BodyTextIndent"/>
        <w:ind w:left="0" w:firstLine="0"/>
      </w:pPr>
      <w:r>
        <w:t>Since 1 ton of NO</w:t>
      </w:r>
      <w:r>
        <w:rPr>
          <w:vertAlign w:val="subscript"/>
        </w:rPr>
        <w:t>x</w:t>
      </w:r>
      <w:r>
        <w:t xml:space="preserve"> emission reduction is equivalent to 1.29 tons of VOC in terms of ozone reduction, the 6.09 tons per day of NO</w:t>
      </w:r>
      <w:r>
        <w:rPr>
          <w:vertAlign w:val="subscript"/>
        </w:rPr>
        <w:t>x</w:t>
      </w:r>
      <w:r>
        <w:t xml:space="preserve"> can be offset by 7.86 tons per day of the VOC ((6.09 tons per day NO</w:t>
      </w:r>
      <w:r>
        <w:rPr>
          <w:vertAlign w:val="subscript"/>
        </w:rPr>
        <w:t>x</w:t>
      </w:r>
      <w:r>
        <w:t xml:space="preserve"> ) X (1.29) = 7.8</w:t>
      </w:r>
      <w:r>
        <w:t>6 tons per day VOC). This leaves a net VOC reduction increase of 6.15 tons per day (14.01 tons per day – 7.86 tons per day = 6.15 tons per day). The remaining VOC emissions indicate that New Jersey’s attainment demonstration for the nonattainment area rema</w:t>
      </w:r>
      <w:r>
        <w:t xml:space="preserve">ins valid when the current updates to the on-road modeled emission projections are completed.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Rate of Progress demonstrations for the New Jersey portion of the New York City/Northern New Jersey/Long Island nonattainment area also remain valid becaus</w:t>
      </w:r>
      <w:r>
        <w:t>e the projected increases in the onroad inventories due to the change in planning assumptions are orders of magnitude below the amounts that would result in failure to meet the Rate of Progress targets.  According to the Rate of Progress SIP, VOC emissions</w:t>
      </w:r>
      <w:r>
        <w:t xml:space="preserve"> would have to be higher by 354.06 tons per day in 2005 or 314.05 tons per day in 2007 before Rate of Progress targets are missed.</w:t>
      </w:r>
      <w:r>
        <w:rPr>
          <w:rStyle w:val="FootnoteReference"/>
          <w:sz w:val="20"/>
          <w:vertAlign w:val="superscript"/>
        </w:rPr>
        <w:footnoteReference w:id="22"/>
      </w:r>
      <w:r>
        <w:t xml:space="preserve">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Based on New Jersey's update of its proposed transportation conformity emission budgets, the New Jersey portion of the Ne</w:t>
      </w:r>
      <w:r>
        <w:t>w York City/Northern New Jersey/Long Island nonattainment area is still predicted to achieve Rate of Progress targets and attainment of the 1-hour ozone standard by the attainment date of 2007. It should be noted that these increases in percent emission re</w:t>
      </w:r>
      <w:r>
        <w:t xml:space="preserve">ductions could not be reallocated to cover potential emission shortfalls in other areas without a more rigorous reassessments. </w:t>
      </w:r>
    </w:p>
    <w:p w:rsidR="00000000" w:rsidRDefault="00C40079">
      <w:pPr>
        <w:pStyle w:val="Level2"/>
        <w:tabs>
          <w:tab w:val="left" w:pos="720"/>
          <w:tab w:val="left" w:pos="1080"/>
          <w:tab w:val="left" w:pos="1440"/>
          <w:tab w:val="left" w:pos="1800"/>
          <w:tab w:val="left" w:pos="2160"/>
        </w:tabs>
      </w:pPr>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widowControl/>
        <w:numPr>
          <w:ilvl w:val="0"/>
          <w:numId w:val="13"/>
        </w:numPr>
        <w:tabs>
          <w:tab w:val="left" w:pos="720"/>
          <w:tab w:val="left" w:pos="1080"/>
          <w:tab w:val="left" w:pos="1440"/>
          <w:tab w:val="left" w:pos="1800"/>
          <w:tab w:val="left" w:pos="2160"/>
        </w:tabs>
        <w:ind w:left="2160" w:hanging="1080"/>
        <w:rPr>
          <w:b/>
        </w:rPr>
      </w:pPr>
      <w:bookmarkStart w:id="111" w:name="McGuire_Amend"/>
      <w:bookmarkStart w:id="112" w:name="_Hlt126634170"/>
      <w:bookmarkEnd w:id="112"/>
      <w:r>
        <w:rPr>
          <w:b/>
        </w:rPr>
        <w:t>Amendment to the McGuire Air Force Base Conformity Budget</w:t>
      </w:r>
      <w:bookmarkEnd w:id="111"/>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An emission budget was established for McGuire Air Force Base under</w:t>
      </w:r>
      <w:r>
        <w:t xml:space="preserve"> the General Conformity Rule in order to ensure that any increases in activity at McGuire Air Force Base conform to the 1-hour ozone SIP.  Emission budgets for VOC and NO</w:t>
      </w:r>
      <w:r>
        <w:rPr>
          <w:vertAlign w:val="subscript"/>
        </w:rPr>
        <w:t>x</w:t>
      </w:r>
      <w:r>
        <w:t xml:space="preserve"> were established for 1990, 1996 and </w:t>
      </w:r>
      <w:r>
        <w:lastRenderedPageBreak/>
        <w:t>1999 in cooperation with the United States Air F</w:t>
      </w:r>
      <w:r>
        <w:t>orce.</w:t>
      </w:r>
      <w:r>
        <w:rPr>
          <w:rStyle w:val="FootnoteReference"/>
          <w:sz w:val="20"/>
          <w:vertAlign w:val="superscript"/>
        </w:rPr>
        <w:footnoteReference w:id="23"/>
      </w:r>
      <w:r>
        <w:rPr>
          <w:sz w:val="20"/>
          <w:vertAlign w:val="superscript"/>
        </w:rPr>
        <w:t>,</w:t>
      </w:r>
      <w:r>
        <w:rPr>
          <w:rStyle w:val="FootnoteReference"/>
          <w:sz w:val="20"/>
          <w:vertAlign w:val="superscript"/>
        </w:rPr>
        <w:footnoteReference w:id="24"/>
      </w:r>
      <w:r>
        <w:t xml:space="preserve">  In 2001, the general conformity emission budgets for McGuire Air Force Base were extended to 2002 and 2005.</w:t>
      </w:r>
      <w:r>
        <w:rPr>
          <w:rStyle w:val="FootnoteReference"/>
          <w:sz w:val="20"/>
          <w:vertAlign w:val="superscript"/>
        </w:rPr>
        <w:footnoteReference w:id="25"/>
      </w:r>
      <w:r>
        <w:t xml:space="preserve">  In 2003, the general conformity emission budgets for McGuire Air Force Base were updated to accommodate additional aircraft activity.</w:t>
      </w:r>
      <w:r>
        <w:rPr>
          <w:rStyle w:val="FootnoteReference"/>
          <w:sz w:val="20"/>
          <w:vertAlign w:val="superscript"/>
        </w:rPr>
        <w:footnoteReference w:id="26"/>
      </w:r>
      <w:r>
        <w:t xml:space="preserve">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McGuire Air Force Base has had success over the years in reducing emissions through the implementation of pollution prevention measures.  Their efforts have been more successful in reducing VOC emissions than in reducing NO</w:t>
      </w:r>
      <w:r>
        <w:rPr>
          <w:vertAlign w:val="subscript"/>
        </w:rPr>
        <w:t>x</w:t>
      </w:r>
      <w:r>
        <w:t xml:space="preserve"> emissions.  McGuire Air Force</w:t>
      </w:r>
      <w:r>
        <w:t xml:space="preserve"> Base has utilized aircraft retirement, mission changes, fuel replacement and maintenance measures to reduce VOCs.  McGuire Air Force Base continues to enhance its pollution prevention measures.  McGuire Air Force Base uses the Hazardous Material Pharmacy,</w:t>
      </w:r>
      <w:r>
        <w:t xml:space="preserve"> which enhances the management of VOC containing materials used on base.  McGuire Air Force Base provides education and training on the proper use of materials, conducts audits, and utilizes product substitution and consolidation to reduce VOCs.  In additi</w:t>
      </w:r>
      <w:r>
        <w:t xml:space="preserve">on, the anticipated retirement of additional aircraft will further reduce VOC emissions.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 xml:space="preserve">McGuire Air Force Base is anticipating expansion of their overall mission, including anticipated base realignment and closure actions and other mission changes.  In </w:t>
      </w:r>
      <w:r>
        <w:t>addition, it is critical for McGuire Air Force Base to have operational flexibility in order to meet its mission as well as the future missions of the Department of Defense. Since McGuire Air Force Base has calculated that they will need an increased NO</w:t>
      </w:r>
      <w:r>
        <w:rPr>
          <w:vertAlign w:val="subscript"/>
        </w:rPr>
        <w:t>x</w:t>
      </w:r>
      <w:r>
        <w:t xml:space="preserve"> b</w:t>
      </w:r>
      <w:r>
        <w:t>udget to be in such a position, McGuire Air Force Base has requested a change in their general conformity budgets.</w:t>
      </w:r>
      <w:r>
        <w:rPr>
          <w:rStyle w:val="FootnoteReference"/>
          <w:vertAlign w:val="superscript"/>
        </w:rPr>
        <w:footnoteReference w:id="27"/>
      </w:r>
      <w:r>
        <w:t xml:space="preserve">  The current and projected VOC emissions at McGuire Air Force Base are well below budget levels.  Therefore, this request for an increase in</w:t>
      </w:r>
      <w:r>
        <w:t xml:space="preserve"> the NO</w:t>
      </w:r>
      <w:r>
        <w:rPr>
          <w:vertAlign w:val="subscript"/>
        </w:rPr>
        <w:t>x</w:t>
      </w:r>
      <w:r>
        <w:t xml:space="preserve"> budget will be offset by a decrease in their VOC budget.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rPr>
          <w:b/>
        </w:rPr>
      </w:pPr>
      <w:r>
        <w:t>Such a change in McGuire Air Force Base’s general conformity budgets is an acceptable air quality solution, as this proposed change is consistent with the USEPA policy of substitution of o</w:t>
      </w:r>
      <w:r>
        <w:t>zone precursor emission reductions.</w:t>
      </w:r>
      <w:r>
        <w:rPr>
          <w:rStyle w:val="FootnoteReference"/>
          <w:vertAlign w:val="superscript"/>
        </w:rPr>
        <w:footnoteReference w:id="28"/>
      </w:r>
      <w:r>
        <w:t xml:space="preserve"> In a previous budget revision for McGuire Air Force Base,</w:t>
      </w:r>
      <w:r>
        <w:rPr>
          <w:rStyle w:val="FootnoteReference"/>
          <w:vertAlign w:val="superscript"/>
        </w:rPr>
        <w:footnoteReference w:id="29"/>
      </w:r>
      <w:r>
        <w:t xml:space="preserve"> a substitution ratio of 1.04 tons of VOC for every ton of NO</w:t>
      </w:r>
      <w:r>
        <w:rPr>
          <w:vertAlign w:val="subscript"/>
        </w:rPr>
        <w:t>x</w:t>
      </w:r>
      <w:r>
        <w:t xml:space="preserve"> was established.  Air quality modeling conducted for the Philadelphia airshed was used to develop </w:t>
      </w:r>
      <w:r>
        <w:t>the substitution ratio for the McGuire area.  This approach was approved by the USEPA.</w:t>
      </w:r>
      <w:r>
        <w:rPr>
          <w:rStyle w:val="FootnoteReference"/>
          <w:vertAlign w:val="superscript"/>
        </w:rPr>
        <w:footnoteReference w:id="30"/>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McGuire Air Force Base holds a vital status in the national defense.  Mission responsibilities include the movement of troops, passengers, military equipment, cargo an</w:t>
      </w:r>
      <w:r>
        <w:t>d mail, and aerial refueling.  The mission of McGuire Air Force Base carries its aircrews and aircraft throughout more than fifty countries around the globe on an around-the-clock basis.  With peacetime taskings serving as training for wartime requirements</w:t>
      </w:r>
      <w:r>
        <w:t>, the base is continually postured in a state of preparedness.  Approval of the SIP emission budgets change would enhance the base’s ability to meets its overall mission.</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State has agreed to propose McGuire Air Force Base’s request for a general confo</w:t>
      </w:r>
      <w:r>
        <w:t>rmity budget change.  The NO</w:t>
      </w:r>
      <w:r>
        <w:rPr>
          <w:vertAlign w:val="subscript"/>
        </w:rPr>
        <w:t>x</w:t>
      </w:r>
      <w:r>
        <w:t xml:space="preserve"> budgets are being increased by 450 tons per year and the VOC budgets are being decreased by 468 tons per year (Table VII). </w:t>
      </w:r>
    </w:p>
    <w:p w:rsidR="00000000" w:rsidRDefault="00C40079">
      <w:pPr>
        <w:pStyle w:val="Level2"/>
        <w:tabs>
          <w:tab w:val="left" w:pos="720"/>
          <w:tab w:val="left" w:pos="1080"/>
          <w:tab w:val="left" w:pos="1440"/>
          <w:tab w:val="left" w:pos="1800"/>
          <w:tab w:val="left" w:pos="2160"/>
        </w:tabs>
        <w:jc w:val="center"/>
        <w:rPr>
          <w:b/>
        </w:rPr>
      </w:pPr>
      <w:r>
        <w:br w:type="page"/>
      </w:r>
      <w:bookmarkStart w:id="113" w:name="Table_VII"/>
      <w:bookmarkStart w:id="114" w:name="_Hlt126641888"/>
      <w:bookmarkEnd w:id="114"/>
      <w:r>
        <w:rPr>
          <w:b/>
        </w:rPr>
        <w:lastRenderedPageBreak/>
        <w:t>Table V</w:t>
      </w:r>
      <w:bookmarkEnd w:id="113"/>
      <w:r>
        <w:rPr>
          <w:b/>
        </w:rPr>
        <w:t>II</w:t>
      </w:r>
    </w:p>
    <w:p w:rsidR="00000000" w:rsidRDefault="00C40079">
      <w:pPr>
        <w:pStyle w:val="Level2"/>
        <w:tabs>
          <w:tab w:val="left" w:pos="720"/>
          <w:tab w:val="left" w:pos="1080"/>
          <w:tab w:val="left" w:pos="1440"/>
          <w:tab w:val="left" w:pos="1800"/>
          <w:tab w:val="left" w:pos="2160"/>
        </w:tabs>
        <w:jc w:val="center"/>
        <w:rPr>
          <w:b/>
        </w:rPr>
      </w:pPr>
      <w:r>
        <w:rPr>
          <w:b/>
        </w:rPr>
        <w:t>Emission Budgets for McGuire Air Force Base</w:t>
      </w:r>
    </w:p>
    <w:p w:rsidR="00000000" w:rsidRDefault="00C40079">
      <w:pPr>
        <w:tabs>
          <w:tab w:val="left" w:pos="720"/>
          <w:tab w:val="left" w:pos="1080"/>
          <w:tab w:val="left" w:pos="1440"/>
          <w:tab w:val="left" w:pos="1800"/>
          <w:tab w:val="left" w:pos="2160"/>
        </w:tabs>
        <w:rPr>
          <w:snapToGrid w:val="0"/>
          <w:sz w:val="24"/>
        </w:rPr>
      </w:pPr>
    </w:p>
    <w:tbl>
      <w:tblPr>
        <w:tblW w:w="0" w:type="auto"/>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CellMar>
          <w:left w:w="81" w:type="dxa"/>
          <w:right w:w="81" w:type="dxa"/>
        </w:tblCellMar>
        <w:tblLook w:val="0000" w:firstRow="0" w:lastRow="0" w:firstColumn="0" w:lastColumn="0" w:noHBand="0" w:noVBand="0"/>
      </w:tblPr>
      <w:tblGrid>
        <w:gridCol w:w="1823"/>
        <w:gridCol w:w="1620"/>
        <w:gridCol w:w="1620"/>
        <w:gridCol w:w="1800"/>
        <w:gridCol w:w="1822"/>
      </w:tblGrid>
      <w:tr w:rsidR="00000000">
        <w:tblPrEx>
          <w:tblCellMar>
            <w:top w:w="0" w:type="dxa"/>
            <w:bottom w:w="0" w:type="dxa"/>
          </w:tblCellMar>
        </w:tblPrEx>
        <w:trPr>
          <w:cantSplit/>
          <w:trHeight w:val="492"/>
          <w:jc w:val="center"/>
        </w:trPr>
        <w:tc>
          <w:tcPr>
            <w:tcW w:w="1823" w:type="dxa"/>
            <w:tcBorders>
              <w:top w:val="double" w:sz="4" w:space="0" w:color="auto"/>
              <w:left w:val="double" w:sz="4" w:space="0" w:color="auto"/>
              <w:bottom w:val="nil"/>
            </w:tcBorders>
            <w:shd w:val="pct5" w:color="auto" w:fill="FFFFFF"/>
            <w:vAlign w:val="bottom"/>
          </w:tcPr>
          <w:p w:rsidR="00000000" w:rsidRDefault="00C40079">
            <w:pPr>
              <w:tabs>
                <w:tab w:val="left" w:pos="720"/>
                <w:tab w:val="left" w:pos="1080"/>
                <w:tab w:val="left" w:pos="1440"/>
                <w:tab w:val="left" w:pos="1800"/>
                <w:tab w:val="left" w:pos="2160"/>
              </w:tabs>
              <w:spacing w:before="93" w:after="48"/>
              <w:rPr>
                <w:sz w:val="24"/>
              </w:rPr>
            </w:pPr>
          </w:p>
        </w:tc>
        <w:tc>
          <w:tcPr>
            <w:tcW w:w="3240" w:type="dxa"/>
            <w:gridSpan w:val="2"/>
            <w:tcBorders>
              <w:top w:val="double" w:sz="4" w:space="0" w:color="auto"/>
              <w:bottom w:val="nil"/>
            </w:tcBorders>
            <w:shd w:val="pct5" w:color="auto" w:fill="FFFFFF"/>
            <w:vAlign w:val="center"/>
          </w:tcPr>
          <w:p w:rsidR="00000000" w:rsidRDefault="00C40079">
            <w:pPr>
              <w:pStyle w:val="Heading4"/>
              <w:numPr>
                <w:ilvl w:val="0"/>
                <w:numId w:val="0"/>
              </w:numPr>
              <w:tabs>
                <w:tab w:val="left" w:pos="720"/>
                <w:tab w:val="left" w:pos="1080"/>
                <w:tab w:val="left" w:pos="1440"/>
                <w:tab w:val="left" w:pos="1800"/>
                <w:tab w:val="left" w:pos="2160"/>
              </w:tabs>
              <w:spacing w:before="93"/>
              <w:jc w:val="center"/>
            </w:pPr>
            <w:r>
              <w:t>Prior Budget</w:t>
            </w:r>
          </w:p>
        </w:tc>
        <w:tc>
          <w:tcPr>
            <w:tcW w:w="3622" w:type="dxa"/>
            <w:gridSpan w:val="2"/>
            <w:tcBorders>
              <w:top w:val="double" w:sz="4" w:space="0" w:color="auto"/>
              <w:bottom w:val="nil"/>
              <w:right w:val="double" w:sz="4" w:space="0" w:color="auto"/>
            </w:tcBorders>
            <w:shd w:val="pct5" w:color="auto" w:fill="FFFFFF"/>
            <w:vAlign w:val="center"/>
          </w:tcPr>
          <w:p w:rsidR="00000000" w:rsidRDefault="00C40079">
            <w:pPr>
              <w:tabs>
                <w:tab w:val="left" w:pos="720"/>
                <w:tab w:val="left" w:pos="1080"/>
                <w:tab w:val="left" w:pos="1440"/>
                <w:tab w:val="left" w:pos="1800"/>
                <w:tab w:val="left" w:pos="2160"/>
              </w:tabs>
              <w:spacing w:before="93"/>
              <w:jc w:val="center"/>
              <w:rPr>
                <w:b/>
                <w:sz w:val="24"/>
              </w:rPr>
            </w:pPr>
            <w:r>
              <w:rPr>
                <w:b/>
                <w:sz w:val="24"/>
              </w:rPr>
              <w:t>Proposed Updated Budget</w:t>
            </w:r>
          </w:p>
        </w:tc>
      </w:tr>
      <w:tr w:rsidR="00000000">
        <w:tblPrEx>
          <w:tblCellMar>
            <w:top w:w="0" w:type="dxa"/>
            <w:bottom w:w="0" w:type="dxa"/>
          </w:tblCellMar>
        </w:tblPrEx>
        <w:trPr>
          <w:cantSplit/>
          <w:trHeight w:val="633"/>
          <w:jc w:val="center"/>
        </w:trPr>
        <w:tc>
          <w:tcPr>
            <w:tcW w:w="1823" w:type="dxa"/>
            <w:tcBorders>
              <w:top w:val="nil"/>
              <w:left w:val="double" w:sz="4" w:space="0" w:color="auto"/>
              <w:bottom w:val="double" w:sz="4" w:space="0" w:color="auto"/>
            </w:tcBorders>
            <w:shd w:val="pct10" w:color="auto" w:fill="FFFFFF"/>
            <w:vAlign w:val="bottom"/>
          </w:tcPr>
          <w:p w:rsidR="00000000" w:rsidRDefault="00C40079">
            <w:pPr>
              <w:tabs>
                <w:tab w:val="left" w:pos="720"/>
                <w:tab w:val="left" w:pos="1080"/>
                <w:tab w:val="left" w:pos="1440"/>
                <w:tab w:val="left" w:pos="1800"/>
                <w:tab w:val="left" w:pos="2160"/>
              </w:tabs>
              <w:spacing w:before="93" w:after="48"/>
              <w:rPr>
                <w:sz w:val="24"/>
              </w:rPr>
            </w:pPr>
          </w:p>
        </w:tc>
        <w:tc>
          <w:tcPr>
            <w:tcW w:w="1620" w:type="dxa"/>
            <w:tcBorders>
              <w:top w:val="nil"/>
              <w:bottom w:val="double" w:sz="4" w:space="0" w:color="auto"/>
            </w:tcBorders>
            <w:shd w:val="pct10" w:color="auto" w:fill="FFFFFF"/>
            <w:vAlign w:val="bottom"/>
          </w:tcPr>
          <w:p w:rsidR="00000000" w:rsidRDefault="00C40079">
            <w:pPr>
              <w:tabs>
                <w:tab w:val="left" w:pos="720"/>
                <w:tab w:val="left" w:pos="1080"/>
                <w:tab w:val="left" w:pos="1440"/>
                <w:tab w:val="left" w:pos="1800"/>
                <w:tab w:val="left" w:pos="2160"/>
              </w:tabs>
              <w:spacing w:before="93" w:after="48"/>
              <w:jc w:val="center"/>
              <w:rPr>
                <w:b/>
                <w:sz w:val="24"/>
              </w:rPr>
            </w:pPr>
            <w:r>
              <w:rPr>
                <w:b/>
                <w:sz w:val="24"/>
              </w:rPr>
              <w:t>VOC (T</w:t>
            </w:r>
            <w:r>
              <w:rPr>
                <w:b/>
                <w:sz w:val="24"/>
              </w:rPr>
              <w:t>ons/Year)</w:t>
            </w:r>
          </w:p>
        </w:tc>
        <w:tc>
          <w:tcPr>
            <w:tcW w:w="1620" w:type="dxa"/>
            <w:tcBorders>
              <w:top w:val="nil"/>
              <w:bottom w:val="double" w:sz="4" w:space="0" w:color="auto"/>
            </w:tcBorders>
            <w:shd w:val="pct10" w:color="auto" w:fill="FFFFFF"/>
          </w:tcPr>
          <w:p w:rsidR="00000000" w:rsidRDefault="00C40079">
            <w:pPr>
              <w:tabs>
                <w:tab w:val="left" w:pos="720"/>
                <w:tab w:val="left" w:pos="1080"/>
                <w:tab w:val="left" w:pos="1440"/>
                <w:tab w:val="left" w:pos="1800"/>
                <w:tab w:val="left" w:pos="2160"/>
              </w:tabs>
              <w:spacing w:before="93"/>
              <w:jc w:val="center"/>
              <w:rPr>
                <w:b/>
                <w:sz w:val="24"/>
              </w:rPr>
            </w:pPr>
            <w:r>
              <w:rPr>
                <w:b/>
                <w:sz w:val="24"/>
              </w:rPr>
              <w:t>NO</w:t>
            </w:r>
            <w:r>
              <w:rPr>
                <w:b/>
                <w:sz w:val="24"/>
                <w:vertAlign w:val="subscript"/>
              </w:rPr>
              <w:t>x</w:t>
            </w:r>
          </w:p>
          <w:p w:rsidR="00000000" w:rsidRDefault="00C40079">
            <w:pPr>
              <w:tabs>
                <w:tab w:val="left" w:pos="720"/>
                <w:tab w:val="left" w:pos="1080"/>
                <w:tab w:val="left" w:pos="1440"/>
                <w:tab w:val="left" w:pos="1800"/>
                <w:tab w:val="left" w:pos="2160"/>
              </w:tabs>
              <w:spacing w:after="48"/>
              <w:jc w:val="center"/>
              <w:rPr>
                <w:b/>
                <w:sz w:val="24"/>
              </w:rPr>
            </w:pPr>
            <w:r>
              <w:rPr>
                <w:b/>
                <w:sz w:val="24"/>
              </w:rPr>
              <w:t>(Tons/Year)</w:t>
            </w:r>
          </w:p>
        </w:tc>
        <w:tc>
          <w:tcPr>
            <w:tcW w:w="1800" w:type="dxa"/>
            <w:tcBorders>
              <w:top w:val="nil"/>
              <w:bottom w:val="double" w:sz="4" w:space="0" w:color="auto"/>
            </w:tcBorders>
            <w:shd w:val="pct10" w:color="auto" w:fill="FFFFFF"/>
          </w:tcPr>
          <w:p w:rsidR="00000000" w:rsidRDefault="00C40079">
            <w:pPr>
              <w:tabs>
                <w:tab w:val="left" w:pos="720"/>
                <w:tab w:val="left" w:pos="1080"/>
                <w:tab w:val="left" w:pos="1440"/>
                <w:tab w:val="left" w:pos="1800"/>
                <w:tab w:val="left" w:pos="2160"/>
              </w:tabs>
              <w:spacing w:before="93" w:after="48"/>
              <w:jc w:val="center"/>
              <w:rPr>
                <w:b/>
                <w:sz w:val="24"/>
              </w:rPr>
            </w:pPr>
            <w:r>
              <w:rPr>
                <w:b/>
                <w:sz w:val="24"/>
              </w:rPr>
              <w:t>VOC (Tons/Year)</w:t>
            </w:r>
          </w:p>
        </w:tc>
        <w:tc>
          <w:tcPr>
            <w:tcW w:w="1822" w:type="dxa"/>
            <w:tcBorders>
              <w:top w:val="nil"/>
              <w:bottom w:val="double" w:sz="4" w:space="0" w:color="auto"/>
              <w:right w:val="double" w:sz="4" w:space="0" w:color="auto"/>
            </w:tcBorders>
            <w:shd w:val="pct10" w:color="auto" w:fill="FFFFFF"/>
            <w:vAlign w:val="bottom"/>
          </w:tcPr>
          <w:p w:rsidR="00000000" w:rsidRDefault="00C40079">
            <w:pPr>
              <w:tabs>
                <w:tab w:val="left" w:pos="720"/>
                <w:tab w:val="left" w:pos="1080"/>
                <w:tab w:val="left" w:pos="1440"/>
                <w:tab w:val="left" w:pos="1800"/>
                <w:tab w:val="left" w:pos="2160"/>
              </w:tabs>
              <w:spacing w:before="93"/>
              <w:jc w:val="center"/>
              <w:rPr>
                <w:b/>
                <w:sz w:val="24"/>
              </w:rPr>
            </w:pPr>
            <w:r>
              <w:rPr>
                <w:b/>
                <w:sz w:val="24"/>
              </w:rPr>
              <w:t>NO</w:t>
            </w:r>
            <w:r>
              <w:rPr>
                <w:b/>
                <w:sz w:val="24"/>
                <w:vertAlign w:val="subscript"/>
              </w:rPr>
              <w:t>x</w:t>
            </w:r>
          </w:p>
          <w:p w:rsidR="00000000" w:rsidRDefault="00C40079">
            <w:pPr>
              <w:tabs>
                <w:tab w:val="left" w:pos="720"/>
                <w:tab w:val="left" w:pos="1080"/>
                <w:tab w:val="left" w:pos="1440"/>
                <w:tab w:val="left" w:pos="1800"/>
                <w:tab w:val="left" w:pos="2160"/>
              </w:tabs>
              <w:spacing w:after="48"/>
              <w:jc w:val="center"/>
              <w:rPr>
                <w:b/>
                <w:sz w:val="24"/>
              </w:rPr>
            </w:pPr>
            <w:r>
              <w:rPr>
                <w:b/>
                <w:sz w:val="24"/>
              </w:rPr>
              <w:t>(Tons/Year)</w:t>
            </w:r>
          </w:p>
        </w:tc>
      </w:tr>
      <w:tr w:rsidR="00000000">
        <w:tblPrEx>
          <w:tblCellMar>
            <w:top w:w="0" w:type="dxa"/>
            <w:bottom w:w="0" w:type="dxa"/>
          </w:tblCellMar>
        </w:tblPrEx>
        <w:trPr>
          <w:cantSplit/>
          <w:jc w:val="center"/>
        </w:trPr>
        <w:tc>
          <w:tcPr>
            <w:tcW w:w="1823" w:type="dxa"/>
            <w:tcBorders>
              <w:top w:val="double" w:sz="4" w:space="0" w:color="auto"/>
              <w:left w:val="double" w:sz="4" w:space="0" w:color="auto"/>
            </w:tcBorders>
            <w:vAlign w:val="center"/>
          </w:tcPr>
          <w:p w:rsidR="00000000" w:rsidRDefault="00C40079">
            <w:pPr>
              <w:pStyle w:val="Heading4"/>
              <w:numPr>
                <w:ilvl w:val="0"/>
                <w:numId w:val="0"/>
              </w:numPr>
              <w:tabs>
                <w:tab w:val="left" w:pos="720"/>
                <w:tab w:val="left" w:pos="1080"/>
                <w:tab w:val="left" w:pos="1440"/>
                <w:tab w:val="left" w:pos="1800"/>
                <w:tab w:val="left" w:pos="2160"/>
              </w:tabs>
              <w:jc w:val="center"/>
            </w:pPr>
            <w:r>
              <w:t>1990 Baseline</w:t>
            </w:r>
          </w:p>
        </w:tc>
        <w:tc>
          <w:tcPr>
            <w:tcW w:w="1620" w:type="dxa"/>
            <w:tcBorders>
              <w:top w:val="double" w:sz="4" w:space="0" w:color="auto"/>
            </w:tcBorders>
            <w:vAlign w:val="bottom"/>
          </w:tcPr>
          <w:p w:rsidR="00000000" w:rsidRDefault="00C40079">
            <w:pPr>
              <w:tabs>
                <w:tab w:val="left" w:pos="720"/>
                <w:tab w:val="left" w:pos="1080"/>
                <w:tab w:val="left" w:pos="1440"/>
                <w:tab w:val="left" w:pos="1800"/>
                <w:tab w:val="left" w:pos="2160"/>
              </w:tabs>
              <w:spacing w:before="93" w:after="48"/>
              <w:jc w:val="center"/>
              <w:rPr>
                <w:sz w:val="24"/>
              </w:rPr>
            </w:pPr>
            <w:r>
              <w:rPr>
                <w:sz w:val="24"/>
              </w:rPr>
              <w:t>1,112</w:t>
            </w:r>
          </w:p>
        </w:tc>
        <w:tc>
          <w:tcPr>
            <w:tcW w:w="1620" w:type="dxa"/>
            <w:tcBorders>
              <w:top w:val="double" w:sz="4" w:space="0" w:color="auto"/>
            </w:tcBorders>
          </w:tcPr>
          <w:p w:rsidR="00000000" w:rsidRDefault="00C40079">
            <w:pPr>
              <w:tabs>
                <w:tab w:val="left" w:pos="720"/>
                <w:tab w:val="left" w:pos="1080"/>
                <w:tab w:val="left" w:pos="1440"/>
                <w:tab w:val="left" w:pos="1800"/>
                <w:tab w:val="left" w:pos="2160"/>
              </w:tabs>
              <w:spacing w:before="93" w:after="48"/>
              <w:jc w:val="center"/>
              <w:rPr>
                <w:sz w:val="24"/>
              </w:rPr>
            </w:pPr>
            <w:r>
              <w:rPr>
                <w:sz w:val="24"/>
              </w:rPr>
              <w:t>1,038</w:t>
            </w:r>
          </w:p>
        </w:tc>
        <w:tc>
          <w:tcPr>
            <w:tcW w:w="1800" w:type="dxa"/>
            <w:tcBorders>
              <w:top w:val="double" w:sz="4" w:space="0" w:color="auto"/>
            </w:tcBorders>
          </w:tcPr>
          <w:p w:rsidR="00000000" w:rsidRDefault="00C40079">
            <w:pPr>
              <w:tabs>
                <w:tab w:val="left" w:pos="720"/>
                <w:tab w:val="left" w:pos="1080"/>
                <w:tab w:val="left" w:pos="1440"/>
                <w:tab w:val="left" w:pos="1800"/>
                <w:tab w:val="left" w:pos="2160"/>
              </w:tabs>
              <w:spacing w:before="93" w:after="48"/>
              <w:jc w:val="center"/>
              <w:rPr>
                <w:sz w:val="24"/>
              </w:rPr>
            </w:pPr>
            <w:r>
              <w:rPr>
                <w:sz w:val="24"/>
              </w:rPr>
              <w:t>1,112</w:t>
            </w:r>
          </w:p>
        </w:tc>
        <w:tc>
          <w:tcPr>
            <w:tcW w:w="1822" w:type="dxa"/>
            <w:tcBorders>
              <w:top w:val="double" w:sz="4" w:space="0" w:color="auto"/>
              <w:right w:val="double" w:sz="4" w:space="0" w:color="auto"/>
            </w:tcBorders>
            <w:vAlign w:val="bottom"/>
          </w:tcPr>
          <w:p w:rsidR="00000000" w:rsidRDefault="00C40079">
            <w:pPr>
              <w:tabs>
                <w:tab w:val="left" w:pos="720"/>
                <w:tab w:val="left" w:pos="1080"/>
                <w:tab w:val="left" w:pos="1440"/>
                <w:tab w:val="left" w:pos="1800"/>
                <w:tab w:val="left" w:pos="2160"/>
              </w:tabs>
              <w:spacing w:before="93" w:after="48"/>
              <w:jc w:val="center"/>
              <w:rPr>
                <w:sz w:val="24"/>
              </w:rPr>
            </w:pPr>
            <w:r>
              <w:rPr>
                <w:sz w:val="24"/>
              </w:rPr>
              <w:t>1,038</w:t>
            </w:r>
          </w:p>
        </w:tc>
      </w:tr>
      <w:tr w:rsidR="00000000">
        <w:tblPrEx>
          <w:tblCellMar>
            <w:top w:w="0" w:type="dxa"/>
            <w:bottom w:w="0" w:type="dxa"/>
          </w:tblCellMar>
        </w:tblPrEx>
        <w:trPr>
          <w:cantSplit/>
          <w:jc w:val="center"/>
        </w:trPr>
        <w:tc>
          <w:tcPr>
            <w:tcW w:w="1823" w:type="dxa"/>
            <w:tcBorders>
              <w:left w:val="double" w:sz="4" w:space="0" w:color="auto"/>
            </w:tcBorders>
            <w:vAlign w:val="bottom"/>
          </w:tcPr>
          <w:p w:rsidR="00000000" w:rsidRDefault="00C40079">
            <w:pPr>
              <w:tabs>
                <w:tab w:val="left" w:pos="720"/>
                <w:tab w:val="left" w:pos="1080"/>
                <w:tab w:val="left" w:pos="1440"/>
                <w:tab w:val="left" w:pos="1800"/>
                <w:tab w:val="left" w:pos="2160"/>
              </w:tabs>
              <w:spacing w:before="93" w:after="48"/>
              <w:jc w:val="center"/>
              <w:rPr>
                <w:b/>
                <w:sz w:val="24"/>
              </w:rPr>
            </w:pPr>
            <w:r>
              <w:rPr>
                <w:b/>
                <w:sz w:val="24"/>
              </w:rPr>
              <w:t>1996</w:t>
            </w:r>
          </w:p>
        </w:tc>
        <w:tc>
          <w:tcPr>
            <w:tcW w:w="1620" w:type="dxa"/>
            <w:vAlign w:val="bottom"/>
          </w:tcPr>
          <w:p w:rsidR="00000000" w:rsidRDefault="00C40079">
            <w:pPr>
              <w:tabs>
                <w:tab w:val="left" w:pos="720"/>
                <w:tab w:val="left" w:pos="1080"/>
                <w:tab w:val="left" w:pos="1440"/>
                <w:tab w:val="left" w:pos="1800"/>
                <w:tab w:val="left" w:pos="2160"/>
              </w:tabs>
              <w:spacing w:before="93" w:after="48"/>
              <w:jc w:val="center"/>
              <w:rPr>
                <w:sz w:val="24"/>
              </w:rPr>
            </w:pPr>
            <w:r>
              <w:rPr>
                <w:sz w:val="24"/>
              </w:rPr>
              <w:t>1,186</w:t>
            </w:r>
          </w:p>
        </w:tc>
        <w:tc>
          <w:tcPr>
            <w:tcW w:w="1620" w:type="dxa"/>
          </w:tcPr>
          <w:p w:rsidR="00000000" w:rsidRDefault="00C40079">
            <w:pPr>
              <w:tabs>
                <w:tab w:val="left" w:pos="720"/>
                <w:tab w:val="left" w:pos="1080"/>
                <w:tab w:val="left" w:pos="1440"/>
                <w:tab w:val="left" w:pos="1800"/>
                <w:tab w:val="left" w:pos="2160"/>
              </w:tabs>
              <w:spacing w:before="93" w:after="48"/>
              <w:jc w:val="center"/>
              <w:rPr>
                <w:sz w:val="24"/>
              </w:rPr>
            </w:pPr>
            <w:r>
              <w:rPr>
                <w:sz w:val="24"/>
              </w:rPr>
              <w:t>1,107</w:t>
            </w:r>
          </w:p>
        </w:tc>
        <w:tc>
          <w:tcPr>
            <w:tcW w:w="1800" w:type="dxa"/>
          </w:tcPr>
          <w:p w:rsidR="00000000" w:rsidRDefault="00C40079">
            <w:pPr>
              <w:tabs>
                <w:tab w:val="left" w:pos="720"/>
                <w:tab w:val="left" w:pos="1080"/>
                <w:tab w:val="left" w:pos="1440"/>
                <w:tab w:val="left" w:pos="1800"/>
                <w:tab w:val="left" w:pos="2160"/>
              </w:tabs>
              <w:spacing w:before="93" w:after="48"/>
              <w:jc w:val="center"/>
              <w:rPr>
                <w:sz w:val="24"/>
              </w:rPr>
            </w:pPr>
            <w:r>
              <w:rPr>
                <w:sz w:val="24"/>
              </w:rPr>
              <w:t>1,186</w:t>
            </w:r>
          </w:p>
        </w:tc>
        <w:tc>
          <w:tcPr>
            <w:tcW w:w="1822" w:type="dxa"/>
            <w:tcBorders>
              <w:right w:val="double" w:sz="4" w:space="0" w:color="auto"/>
            </w:tcBorders>
            <w:vAlign w:val="bottom"/>
          </w:tcPr>
          <w:p w:rsidR="00000000" w:rsidRDefault="00C40079">
            <w:pPr>
              <w:tabs>
                <w:tab w:val="left" w:pos="720"/>
                <w:tab w:val="left" w:pos="1080"/>
                <w:tab w:val="left" w:pos="1440"/>
                <w:tab w:val="left" w:pos="1800"/>
                <w:tab w:val="left" w:pos="2160"/>
              </w:tabs>
              <w:spacing w:before="93" w:after="48"/>
              <w:jc w:val="center"/>
              <w:rPr>
                <w:sz w:val="24"/>
              </w:rPr>
            </w:pPr>
            <w:r>
              <w:rPr>
                <w:sz w:val="24"/>
              </w:rPr>
              <w:t>1,107</w:t>
            </w:r>
          </w:p>
        </w:tc>
      </w:tr>
      <w:tr w:rsidR="00000000">
        <w:tblPrEx>
          <w:tblCellMar>
            <w:top w:w="0" w:type="dxa"/>
            <w:bottom w:w="0" w:type="dxa"/>
          </w:tblCellMar>
        </w:tblPrEx>
        <w:trPr>
          <w:cantSplit/>
          <w:jc w:val="center"/>
        </w:trPr>
        <w:tc>
          <w:tcPr>
            <w:tcW w:w="1823" w:type="dxa"/>
            <w:tcBorders>
              <w:left w:val="double" w:sz="4" w:space="0" w:color="auto"/>
              <w:bottom w:val="nil"/>
            </w:tcBorders>
            <w:vAlign w:val="bottom"/>
          </w:tcPr>
          <w:p w:rsidR="00000000" w:rsidRDefault="00C40079">
            <w:pPr>
              <w:tabs>
                <w:tab w:val="left" w:pos="720"/>
                <w:tab w:val="left" w:pos="1080"/>
                <w:tab w:val="left" w:pos="1440"/>
                <w:tab w:val="left" w:pos="1800"/>
                <w:tab w:val="left" w:pos="2160"/>
              </w:tabs>
              <w:spacing w:before="93" w:after="48"/>
              <w:jc w:val="center"/>
              <w:rPr>
                <w:b/>
                <w:sz w:val="24"/>
              </w:rPr>
            </w:pPr>
            <w:r>
              <w:rPr>
                <w:b/>
                <w:sz w:val="24"/>
              </w:rPr>
              <w:t>1999</w:t>
            </w:r>
          </w:p>
        </w:tc>
        <w:tc>
          <w:tcPr>
            <w:tcW w:w="1620" w:type="dxa"/>
            <w:vAlign w:val="bottom"/>
          </w:tcPr>
          <w:p w:rsidR="00000000" w:rsidRDefault="00C40079">
            <w:pPr>
              <w:tabs>
                <w:tab w:val="left" w:pos="720"/>
                <w:tab w:val="left" w:pos="1080"/>
                <w:tab w:val="left" w:pos="1440"/>
                <w:tab w:val="left" w:pos="1800"/>
                <w:tab w:val="left" w:pos="2160"/>
              </w:tabs>
              <w:spacing w:before="93" w:after="48"/>
              <w:jc w:val="center"/>
              <w:rPr>
                <w:sz w:val="24"/>
              </w:rPr>
            </w:pPr>
            <w:r>
              <w:rPr>
                <w:sz w:val="24"/>
              </w:rPr>
              <w:t>1,223</w:t>
            </w:r>
          </w:p>
        </w:tc>
        <w:tc>
          <w:tcPr>
            <w:tcW w:w="1620" w:type="dxa"/>
          </w:tcPr>
          <w:p w:rsidR="00000000" w:rsidRDefault="00C40079">
            <w:pPr>
              <w:tabs>
                <w:tab w:val="left" w:pos="720"/>
                <w:tab w:val="left" w:pos="1080"/>
                <w:tab w:val="left" w:pos="1440"/>
                <w:tab w:val="left" w:pos="1800"/>
                <w:tab w:val="left" w:pos="2160"/>
              </w:tabs>
              <w:spacing w:before="93" w:after="48"/>
              <w:jc w:val="center"/>
              <w:rPr>
                <w:sz w:val="24"/>
              </w:rPr>
            </w:pPr>
            <w:r>
              <w:rPr>
                <w:sz w:val="24"/>
              </w:rPr>
              <w:t>1,142</w:t>
            </w:r>
          </w:p>
        </w:tc>
        <w:tc>
          <w:tcPr>
            <w:tcW w:w="1800" w:type="dxa"/>
          </w:tcPr>
          <w:p w:rsidR="00000000" w:rsidRDefault="00C40079">
            <w:pPr>
              <w:tabs>
                <w:tab w:val="left" w:pos="720"/>
                <w:tab w:val="left" w:pos="1080"/>
                <w:tab w:val="left" w:pos="1440"/>
                <w:tab w:val="left" w:pos="1800"/>
                <w:tab w:val="left" w:pos="2160"/>
              </w:tabs>
              <w:spacing w:before="93" w:after="48"/>
              <w:jc w:val="center"/>
              <w:rPr>
                <w:sz w:val="24"/>
              </w:rPr>
            </w:pPr>
            <w:r>
              <w:rPr>
                <w:sz w:val="24"/>
              </w:rPr>
              <w:t>1,223</w:t>
            </w:r>
          </w:p>
        </w:tc>
        <w:tc>
          <w:tcPr>
            <w:tcW w:w="1822" w:type="dxa"/>
            <w:tcBorders>
              <w:right w:val="double" w:sz="4" w:space="0" w:color="auto"/>
            </w:tcBorders>
            <w:vAlign w:val="bottom"/>
          </w:tcPr>
          <w:p w:rsidR="00000000" w:rsidRDefault="00C40079">
            <w:pPr>
              <w:tabs>
                <w:tab w:val="left" w:pos="720"/>
                <w:tab w:val="left" w:pos="1080"/>
                <w:tab w:val="left" w:pos="1440"/>
                <w:tab w:val="left" w:pos="1800"/>
                <w:tab w:val="left" w:pos="2160"/>
              </w:tabs>
              <w:spacing w:before="93" w:after="48"/>
              <w:jc w:val="center"/>
              <w:rPr>
                <w:sz w:val="24"/>
              </w:rPr>
            </w:pPr>
            <w:r>
              <w:rPr>
                <w:sz w:val="24"/>
              </w:rPr>
              <w:t>1,142</w:t>
            </w:r>
          </w:p>
        </w:tc>
      </w:tr>
      <w:tr w:rsidR="00000000">
        <w:tblPrEx>
          <w:tblCellMar>
            <w:top w:w="0" w:type="dxa"/>
            <w:bottom w:w="0" w:type="dxa"/>
          </w:tblCellMar>
        </w:tblPrEx>
        <w:trPr>
          <w:cantSplit/>
          <w:trHeight w:val="435"/>
          <w:jc w:val="center"/>
        </w:trPr>
        <w:tc>
          <w:tcPr>
            <w:tcW w:w="1823" w:type="dxa"/>
            <w:tcBorders>
              <w:top w:val="single" w:sz="6" w:space="0" w:color="000000"/>
              <w:left w:val="double" w:sz="4" w:space="0" w:color="auto"/>
              <w:bottom w:val="nil"/>
            </w:tcBorders>
            <w:vAlign w:val="bottom"/>
          </w:tcPr>
          <w:p w:rsidR="00000000" w:rsidRDefault="00C40079">
            <w:pPr>
              <w:tabs>
                <w:tab w:val="left" w:pos="720"/>
                <w:tab w:val="left" w:pos="1080"/>
                <w:tab w:val="left" w:pos="1440"/>
                <w:tab w:val="left" w:pos="1800"/>
                <w:tab w:val="left" w:pos="2160"/>
              </w:tabs>
              <w:spacing w:before="93" w:after="48"/>
              <w:jc w:val="center"/>
              <w:rPr>
                <w:b/>
                <w:sz w:val="24"/>
              </w:rPr>
            </w:pPr>
            <w:r>
              <w:rPr>
                <w:b/>
                <w:sz w:val="24"/>
              </w:rPr>
              <w:t>2002</w:t>
            </w:r>
          </w:p>
        </w:tc>
        <w:tc>
          <w:tcPr>
            <w:tcW w:w="1620" w:type="dxa"/>
            <w:tcBorders>
              <w:bottom w:val="nil"/>
            </w:tcBorders>
            <w:vAlign w:val="bottom"/>
          </w:tcPr>
          <w:p w:rsidR="00000000" w:rsidRDefault="00C40079">
            <w:pPr>
              <w:tabs>
                <w:tab w:val="left" w:pos="720"/>
                <w:tab w:val="left" w:pos="1080"/>
                <w:tab w:val="left" w:pos="1440"/>
                <w:tab w:val="left" w:pos="1800"/>
                <w:tab w:val="left" w:pos="2160"/>
              </w:tabs>
              <w:spacing w:before="93" w:after="48"/>
              <w:jc w:val="center"/>
              <w:rPr>
                <w:sz w:val="24"/>
              </w:rPr>
            </w:pPr>
            <w:r>
              <w:rPr>
                <w:sz w:val="24"/>
              </w:rPr>
              <w:t>1,405</w:t>
            </w:r>
          </w:p>
        </w:tc>
        <w:tc>
          <w:tcPr>
            <w:tcW w:w="1620" w:type="dxa"/>
            <w:tcBorders>
              <w:bottom w:val="nil"/>
            </w:tcBorders>
          </w:tcPr>
          <w:p w:rsidR="00000000" w:rsidRDefault="00C40079">
            <w:pPr>
              <w:tabs>
                <w:tab w:val="left" w:pos="720"/>
                <w:tab w:val="left" w:pos="1080"/>
                <w:tab w:val="left" w:pos="1440"/>
                <w:tab w:val="left" w:pos="1800"/>
                <w:tab w:val="left" w:pos="2160"/>
              </w:tabs>
              <w:spacing w:before="93" w:after="48"/>
              <w:jc w:val="center"/>
              <w:rPr>
                <w:sz w:val="24"/>
              </w:rPr>
            </w:pPr>
            <w:r>
              <w:rPr>
                <w:sz w:val="24"/>
              </w:rPr>
              <w:t>875</w:t>
            </w:r>
          </w:p>
        </w:tc>
        <w:tc>
          <w:tcPr>
            <w:tcW w:w="1800" w:type="dxa"/>
            <w:tcBorders>
              <w:bottom w:val="nil"/>
            </w:tcBorders>
          </w:tcPr>
          <w:p w:rsidR="00000000" w:rsidRDefault="00C40079">
            <w:pPr>
              <w:tabs>
                <w:tab w:val="left" w:pos="720"/>
                <w:tab w:val="left" w:pos="1080"/>
                <w:tab w:val="left" w:pos="1440"/>
                <w:tab w:val="left" w:pos="1800"/>
                <w:tab w:val="left" w:pos="2160"/>
              </w:tabs>
              <w:spacing w:before="93" w:after="48"/>
              <w:jc w:val="center"/>
              <w:rPr>
                <w:sz w:val="24"/>
              </w:rPr>
            </w:pPr>
            <w:r>
              <w:rPr>
                <w:sz w:val="24"/>
              </w:rPr>
              <w:t>1,405</w:t>
            </w:r>
          </w:p>
        </w:tc>
        <w:tc>
          <w:tcPr>
            <w:tcW w:w="1822" w:type="dxa"/>
            <w:tcBorders>
              <w:bottom w:val="nil"/>
              <w:right w:val="double" w:sz="4" w:space="0" w:color="auto"/>
            </w:tcBorders>
            <w:vAlign w:val="bottom"/>
          </w:tcPr>
          <w:p w:rsidR="00000000" w:rsidRDefault="00C40079">
            <w:pPr>
              <w:tabs>
                <w:tab w:val="left" w:pos="720"/>
                <w:tab w:val="left" w:pos="1080"/>
                <w:tab w:val="left" w:pos="1440"/>
                <w:tab w:val="left" w:pos="1800"/>
                <w:tab w:val="left" w:pos="2160"/>
              </w:tabs>
              <w:spacing w:before="93" w:after="48"/>
              <w:jc w:val="center"/>
              <w:rPr>
                <w:sz w:val="24"/>
              </w:rPr>
            </w:pPr>
            <w:r>
              <w:rPr>
                <w:sz w:val="24"/>
              </w:rPr>
              <w:t>875</w:t>
            </w:r>
          </w:p>
        </w:tc>
      </w:tr>
      <w:tr w:rsidR="00000000">
        <w:tblPrEx>
          <w:tblCellMar>
            <w:top w:w="0" w:type="dxa"/>
            <w:bottom w:w="0" w:type="dxa"/>
          </w:tblCellMar>
        </w:tblPrEx>
        <w:trPr>
          <w:cantSplit/>
          <w:trHeight w:val="462"/>
          <w:jc w:val="center"/>
        </w:trPr>
        <w:tc>
          <w:tcPr>
            <w:tcW w:w="1823" w:type="dxa"/>
            <w:tcBorders>
              <w:top w:val="single" w:sz="4" w:space="0" w:color="auto"/>
              <w:left w:val="double" w:sz="4" w:space="0" w:color="auto"/>
              <w:bottom w:val="single" w:sz="4" w:space="0" w:color="auto"/>
              <w:right w:val="single" w:sz="4" w:space="0" w:color="auto"/>
            </w:tcBorders>
            <w:vAlign w:val="bottom"/>
          </w:tcPr>
          <w:p w:rsidR="00000000" w:rsidRDefault="00C40079">
            <w:pPr>
              <w:tabs>
                <w:tab w:val="left" w:pos="720"/>
                <w:tab w:val="left" w:pos="1080"/>
                <w:tab w:val="left" w:pos="1440"/>
                <w:tab w:val="left" w:pos="1800"/>
                <w:tab w:val="left" w:pos="2160"/>
              </w:tabs>
              <w:spacing w:before="93" w:after="48"/>
              <w:jc w:val="center"/>
              <w:rPr>
                <w:b/>
                <w:sz w:val="24"/>
              </w:rPr>
            </w:pPr>
            <w:r>
              <w:rPr>
                <w:b/>
                <w:sz w:val="24"/>
              </w:rPr>
              <w:t>2005</w:t>
            </w:r>
            <w:r>
              <w:rPr>
                <w:b/>
                <w:sz w:val="24"/>
                <w:vertAlign w:val="superscript"/>
              </w:rPr>
              <w:t>(1)</w:t>
            </w:r>
          </w:p>
        </w:tc>
        <w:tc>
          <w:tcPr>
            <w:tcW w:w="1620" w:type="dxa"/>
            <w:tcBorders>
              <w:top w:val="single" w:sz="6" w:space="0" w:color="000000"/>
              <w:left w:val="nil"/>
              <w:bottom w:val="single" w:sz="4" w:space="0" w:color="auto"/>
            </w:tcBorders>
            <w:vAlign w:val="bottom"/>
          </w:tcPr>
          <w:p w:rsidR="00000000" w:rsidRDefault="00C40079">
            <w:pPr>
              <w:tabs>
                <w:tab w:val="left" w:pos="720"/>
                <w:tab w:val="left" w:pos="1080"/>
                <w:tab w:val="left" w:pos="1440"/>
                <w:tab w:val="left" w:pos="1800"/>
                <w:tab w:val="left" w:pos="2160"/>
              </w:tabs>
              <w:spacing w:before="93" w:after="48"/>
              <w:jc w:val="center"/>
              <w:rPr>
                <w:sz w:val="24"/>
              </w:rPr>
            </w:pPr>
            <w:r>
              <w:rPr>
                <w:sz w:val="24"/>
              </w:rPr>
              <w:t>1,198</w:t>
            </w:r>
          </w:p>
        </w:tc>
        <w:tc>
          <w:tcPr>
            <w:tcW w:w="1620" w:type="dxa"/>
            <w:tcBorders>
              <w:top w:val="single" w:sz="6" w:space="0" w:color="000000"/>
              <w:bottom w:val="single" w:sz="4" w:space="0" w:color="auto"/>
            </w:tcBorders>
          </w:tcPr>
          <w:p w:rsidR="00000000" w:rsidRDefault="00C40079">
            <w:pPr>
              <w:tabs>
                <w:tab w:val="left" w:pos="720"/>
                <w:tab w:val="left" w:pos="1080"/>
                <w:tab w:val="left" w:pos="1440"/>
                <w:tab w:val="left" w:pos="1800"/>
                <w:tab w:val="left" w:pos="2160"/>
              </w:tabs>
              <w:spacing w:before="93" w:after="48"/>
              <w:jc w:val="center"/>
              <w:rPr>
                <w:sz w:val="24"/>
              </w:rPr>
            </w:pPr>
            <w:r>
              <w:rPr>
                <w:sz w:val="24"/>
              </w:rPr>
              <w:t>1,084</w:t>
            </w:r>
          </w:p>
        </w:tc>
        <w:tc>
          <w:tcPr>
            <w:tcW w:w="1800" w:type="dxa"/>
            <w:tcBorders>
              <w:top w:val="single" w:sz="6" w:space="0" w:color="000000"/>
              <w:bottom w:val="single" w:sz="4" w:space="0" w:color="auto"/>
            </w:tcBorders>
          </w:tcPr>
          <w:p w:rsidR="00000000" w:rsidRDefault="00C40079">
            <w:pPr>
              <w:tabs>
                <w:tab w:val="left" w:pos="720"/>
                <w:tab w:val="left" w:pos="1080"/>
                <w:tab w:val="left" w:pos="1440"/>
                <w:tab w:val="left" w:pos="1800"/>
                <w:tab w:val="left" w:pos="2160"/>
              </w:tabs>
              <w:spacing w:before="93" w:after="48"/>
              <w:jc w:val="center"/>
              <w:rPr>
                <w:sz w:val="24"/>
              </w:rPr>
            </w:pPr>
            <w:r>
              <w:rPr>
                <w:sz w:val="24"/>
              </w:rPr>
              <w:t>730</w:t>
            </w:r>
          </w:p>
        </w:tc>
        <w:tc>
          <w:tcPr>
            <w:tcW w:w="1822" w:type="dxa"/>
            <w:tcBorders>
              <w:top w:val="single" w:sz="6" w:space="0" w:color="000000"/>
              <w:bottom w:val="single" w:sz="4" w:space="0" w:color="auto"/>
              <w:right w:val="double" w:sz="4" w:space="0" w:color="auto"/>
            </w:tcBorders>
            <w:vAlign w:val="bottom"/>
          </w:tcPr>
          <w:p w:rsidR="00000000" w:rsidRDefault="00C40079">
            <w:pPr>
              <w:tabs>
                <w:tab w:val="left" w:pos="720"/>
                <w:tab w:val="left" w:pos="1080"/>
                <w:tab w:val="left" w:pos="1440"/>
                <w:tab w:val="left" w:pos="1800"/>
                <w:tab w:val="left" w:pos="2160"/>
              </w:tabs>
              <w:spacing w:before="93" w:after="48"/>
              <w:jc w:val="center"/>
              <w:rPr>
                <w:sz w:val="24"/>
              </w:rPr>
            </w:pPr>
            <w:r>
              <w:rPr>
                <w:sz w:val="24"/>
              </w:rPr>
              <w:t>1,534</w:t>
            </w:r>
          </w:p>
        </w:tc>
      </w:tr>
    </w:tbl>
    <w:p w:rsidR="00000000" w:rsidRDefault="00C40079">
      <w:pPr>
        <w:pStyle w:val="Level2"/>
        <w:widowControl/>
        <w:tabs>
          <w:tab w:val="left" w:pos="720"/>
          <w:tab w:val="left" w:pos="1080"/>
          <w:tab w:val="left" w:pos="1440"/>
          <w:tab w:val="left" w:pos="1800"/>
          <w:tab w:val="left" w:pos="2160"/>
        </w:tabs>
        <w:ind w:left="360"/>
        <w:rPr>
          <w:sz w:val="22"/>
        </w:rPr>
      </w:pPr>
      <w:r>
        <w:rPr>
          <w:sz w:val="22"/>
        </w:rPr>
        <w:t>NOTES:</w:t>
      </w:r>
    </w:p>
    <w:p w:rsidR="00000000" w:rsidRDefault="00C40079">
      <w:pPr>
        <w:pStyle w:val="Level2"/>
        <w:widowControl/>
        <w:numPr>
          <w:ilvl w:val="0"/>
          <w:numId w:val="34"/>
        </w:numPr>
        <w:tabs>
          <w:tab w:val="clear" w:pos="360"/>
          <w:tab w:val="left" w:pos="720"/>
          <w:tab w:val="left" w:pos="1080"/>
          <w:tab w:val="left" w:pos="1440"/>
          <w:tab w:val="left" w:pos="1800"/>
          <w:tab w:val="left" w:pos="2160"/>
        </w:tabs>
        <w:ind w:left="720"/>
        <w:rPr>
          <w:sz w:val="22"/>
        </w:rPr>
      </w:pPr>
      <w:r>
        <w:rPr>
          <w:sz w:val="22"/>
        </w:rPr>
        <w:t>Budgets updated such that the incr</w:t>
      </w:r>
      <w:r>
        <w:rPr>
          <w:sz w:val="22"/>
        </w:rPr>
        <w:t>ease in NO</w:t>
      </w:r>
      <w:r>
        <w:rPr>
          <w:sz w:val="22"/>
          <w:vertAlign w:val="subscript"/>
        </w:rPr>
        <w:t>x</w:t>
      </w:r>
      <w:r>
        <w:rPr>
          <w:sz w:val="22"/>
        </w:rPr>
        <w:t xml:space="preserve"> is offset by a decrease in VOC such that there is no expected net increase in ozone formation.  Updated 2005 budgets apply to 2005 and all future years until new budgets are established for the 8- hour ozone attainment demonstration.</w:t>
      </w:r>
    </w:p>
    <w:p w:rsidR="00000000" w:rsidRDefault="00C40079">
      <w:pPr>
        <w:pStyle w:val="Level2"/>
        <w:tabs>
          <w:tab w:val="left" w:pos="720"/>
          <w:tab w:val="left" w:pos="1080"/>
          <w:tab w:val="left" w:pos="1440"/>
          <w:tab w:val="left" w:pos="1800"/>
          <w:tab w:val="left" w:pos="2160"/>
        </w:tabs>
      </w:pPr>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numPr>
          <w:ilvl w:val="0"/>
          <w:numId w:val="12"/>
        </w:numPr>
        <w:tabs>
          <w:tab w:val="clear" w:pos="720"/>
          <w:tab w:val="num" w:pos="1080"/>
          <w:tab w:val="left" w:pos="1800"/>
          <w:tab w:val="left" w:pos="2160"/>
        </w:tabs>
        <w:ind w:left="1080" w:hanging="360"/>
        <w:rPr>
          <w:b/>
        </w:rPr>
      </w:pPr>
      <w:bookmarkStart w:id="115" w:name="PM_Budget"/>
      <w:bookmarkStart w:id="116" w:name="_Hlt126634231"/>
      <w:bookmarkEnd w:id="116"/>
      <w:r>
        <w:rPr>
          <w:b/>
        </w:rPr>
        <w:t>New Bud</w:t>
      </w:r>
      <w:r>
        <w:rPr>
          <w:b/>
        </w:rPr>
        <w:t>get – Particulate Matter Budget for Northern New Jersey</w:t>
      </w:r>
      <w:bookmarkEnd w:id="115"/>
      <w:r>
        <w:rPr>
          <w:b/>
        </w:rPr>
        <w:t xml:space="preserve">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establishment of early PM</w:t>
      </w:r>
      <w:r>
        <w:rPr>
          <w:vertAlign w:val="subscript"/>
        </w:rPr>
        <w:t>2.5</w:t>
      </w:r>
      <w:r>
        <w:t xml:space="preserve"> budgets is to require their use by the Metropolitan Planning Organizations in their transportation conformity determinations during the interim period prior to the P</w:t>
      </w:r>
      <w:r>
        <w:t>M</w:t>
      </w:r>
      <w:r>
        <w:rPr>
          <w:vertAlign w:val="subscript"/>
        </w:rPr>
        <w:t>2.5</w:t>
      </w:r>
      <w:r>
        <w:t xml:space="preserve"> attainment demonstration SIP budgets.</w:t>
      </w:r>
      <w:r>
        <w:rPr>
          <w:rStyle w:val="FootnoteReference"/>
          <w:vertAlign w:val="superscript"/>
        </w:rPr>
        <w:footnoteReference w:id="31"/>
      </w:r>
      <w:r>
        <w:t xml:space="preserve">  Establishment of these early transportation conformity emission budgets will enable the affected Metropolitan Planning Organizations to demonstrate transportation conformity by the preferred method of remaining </w:t>
      </w:r>
      <w:r>
        <w:t>below area specific budgets instead of using one of the interim emissions tests.  The early budgets are based on direct PM</w:t>
      </w:r>
      <w:r>
        <w:rPr>
          <w:vertAlign w:val="subscript"/>
        </w:rPr>
        <w:t>2.5</w:t>
      </w:r>
      <w:r>
        <w:t xml:space="preserve"> and annual NO</w:t>
      </w:r>
      <w:r>
        <w:rPr>
          <w:vertAlign w:val="subscript"/>
        </w:rPr>
        <w:t>x</w:t>
      </w:r>
      <w:r>
        <w:t xml:space="preserve"> inventories that demonstrate at least a five to ten percent reduction between 2002 and 2009 for sources in the New </w:t>
      </w:r>
      <w:r>
        <w:t>Jersey portion of the New York /New Jersey/Long Island/Connecticut nonattainment area.</w:t>
      </w:r>
      <w:r>
        <w:rPr>
          <w:rStyle w:val="FootnoteReference"/>
          <w:vertAlign w:val="superscript"/>
        </w:rPr>
        <w:footnoteReference w:id="32"/>
      </w:r>
      <w:r>
        <w:t xml:space="preserve">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early budgets must be used for future transportation conformity determinations by the North Jersey Transportation Planning Authority and the Delaware Valley Regi</w:t>
      </w:r>
      <w:r>
        <w:t>onal Planning Commission once approved by the USEPA.  The North Jersey Transportation Planning Authority and the Delaware Valley Regional Planning Commission are two of the three Metropolitan Planning Organizations that cover the State of New Jersey (see F</w:t>
      </w:r>
      <w:r>
        <w:t xml:space="preserve">igure I).  </w:t>
      </w:r>
    </w:p>
    <w:p w:rsidR="00000000" w:rsidRDefault="00C40079">
      <w:pPr>
        <w:pStyle w:val="Level2"/>
        <w:tabs>
          <w:tab w:val="left" w:pos="720"/>
          <w:tab w:val="left" w:pos="1080"/>
          <w:tab w:val="left" w:pos="1440"/>
          <w:tab w:val="left" w:pos="1800"/>
          <w:tab w:val="left" w:pos="2160"/>
        </w:tabs>
      </w:pPr>
      <w:r>
        <w:br w:type="page"/>
      </w:r>
    </w:p>
    <w:p w:rsidR="00000000" w:rsidRDefault="00C40079">
      <w:pPr>
        <w:pStyle w:val="Level2"/>
        <w:numPr>
          <w:ilvl w:val="0"/>
          <w:numId w:val="31"/>
        </w:numPr>
        <w:tabs>
          <w:tab w:val="left" w:pos="720"/>
          <w:tab w:val="left" w:pos="1080"/>
          <w:tab w:val="left" w:pos="1440"/>
          <w:tab w:val="left" w:pos="1800"/>
          <w:tab w:val="left" w:pos="2160"/>
          <w:tab w:val="num" w:pos="2880"/>
        </w:tabs>
        <w:ind w:left="2160" w:hanging="1080"/>
        <w:rPr>
          <w:b/>
        </w:rPr>
      </w:pPr>
      <w:bookmarkStart w:id="117" w:name="PM_Background"/>
      <w:bookmarkStart w:id="118" w:name="_Hlt126641369"/>
      <w:bookmarkEnd w:id="118"/>
      <w:r>
        <w:rPr>
          <w:b/>
        </w:rPr>
        <w:t>PM</w:t>
      </w:r>
      <w:r>
        <w:rPr>
          <w:b/>
          <w:vertAlign w:val="subscript"/>
        </w:rPr>
        <w:t>2.5</w:t>
      </w:r>
      <w:r>
        <w:rPr>
          <w:b/>
        </w:rPr>
        <w:t xml:space="preserve"> General Background</w:t>
      </w:r>
      <w:bookmarkEnd w:id="117"/>
      <w:r>
        <w:rPr>
          <w:rStyle w:val="FootnoteReference"/>
          <w:sz w:val="20"/>
          <w:vertAlign w:val="superscript"/>
        </w:rPr>
        <w:footnoteReference w:id="33"/>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Particulate matter is the term for particles found in the air, including dust, dirt, soot, smoke, and liquid droplets.  Many manmade and natural sources emit particulate matter directly or emit other pollutants that</w:t>
      </w:r>
      <w:r>
        <w:t xml:space="preserve"> react in the atmosphere to form particulate matter.  Sources of fine particles include all types of combustion activities (motor vehicles, power plants, wood burning, etc.) and certain industrial processes. Other particles may be indirectly formed when ga</w:t>
      </w:r>
      <w:r>
        <w:t>ses from burning fuels react with sunlight and water vapor.</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Particles less than 10 micrometers in diameter (PM</w:t>
      </w:r>
      <w:r>
        <w:rPr>
          <w:vertAlign w:val="subscript"/>
        </w:rPr>
        <w:t>10</w:t>
      </w:r>
      <w:r>
        <w:t>) pose a health concern because they can be inhaled into and accumulate in the respiratory system.  Particles less than 2.5 micrometers in diam</w:t>
      </w:r>
      <w:r>
        <w:t>eter, PM</w:t>
      </w:r>
      <w:r>
        <w:rPr>
          <w:vertAlign w:val="subscript"/>
        </w:rPr>
        <w:t>2.5</w:t>
      </w:r>
      <w:r>
        <w:t>, are referred to as "fine" particles and are believed to pose the greatest health risks.  Because of their small size (approximately 1/30th the average width of a human hair), fine particles can lodge deeply into the lungs.  Particles with diam</w:t>
      </w:r>
      <w:r>
        <w:t>eters between 2.5 and 10 micrometers are referred to as "coarse."</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Health studies have shown a significant association between exposure to fine particles and premature death.  Other important effects include aggravation of respiratory and cardiovascular di</w:t>
      </w:r>
      <w:r>
        <w:t>sease (as indicated by increased hospital admissions, emergency room visits, absences from school or work, and restricted activity days), lung disease, decreased lung function, asthma attacks, and certain cardiovascular problems such as heart attacks and i</w:t>
      </w:r>
      <w:r>
        <w:t>rregular heart beat.  Individuals particularly sensitive to fine particle exposure include older adults, people with heart and lung disease, and children.  Roughly one out of every three people in the United States is at a higher risk of experiencing PM</w:t>
      </w:r>
      <w:r>
        <w:rPr>
          <w:vertAlign w:val="subscript"/>
        </w:rPr>
        <w:t>2.5</w:t>
      </w:r>
      <w:r>
        <w:t xml:space="preserve"> related health effects: active children because they often spend a lot of time playing outdoors and their bodies are still developing and oftentimes the elderly population is at risk.</w:t>
      </w: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31"/>
        </w:numPr>
        <w:tabs>
          <w:tab w:val="clear" w:pos="720"/>
          <w:tab w:val="left" w:pos="1080"/>
          <w:tab w:val="left" w:pos="1440"/>
          <w:tab w:val="left" w:pos="1800"/>
          <w:tab w:val="left" w:pos="2160"/>
          <w:tab w:val="num" w:pos="2880"/>
        </w:tabs>
        <w:ind w:left="2880" w:hanging="1800"/>
        <w:rPr>
          <w:b/>
        </w:rPr>
      </w:pPr>
      <w:bookmarkStart w:id="119" w:name="PM_Standard"/>
      <w:r>
        <w:rPr>
          <w:b/>
        </w:rPr>
        <w:t>Establishment of the PM</w:t>
      </w:r>
      <w:r>
        <w:rPr>
          <w:b/>
          <w:vertAlign w:val="subscript"/>
        </w:rPr>
        <w:t>2.5</w:t>
      </w:r>
      <w:r>
        <w:rPr>
          <w:b/>
        </w:rPr>
        <w:t xml:space="preserve"> Standard</w:t>
      </w:r>
      <w:bookmarkEnd w:id="119"/>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42 U.S.C §7409 requires the USEPA</w:t>
      </w:r>
      <w:r>
        <w:t xml:space="preserve"> to set national ambient air quality standards (NAAQS) for widespread pollutants from numerous and diverse sources that are considered harmful to public health and the environment.  These standards are established to protect the most sensitive individuals.</w:t>
      </w:r>
      <w:r>
        <w:t xml:space="preserve">  The Clean Air Act</w:t>
      </w:r>
      <w:r>
        <w:rPr>
          <w:rStyle w:val="FootnoteReference"/>
          <w:vertAlign w:val="superscript"/>
        </w:rPr>
        <w:footnoteReference w:id="34"/>
      </w:r>
      <w:r>
        <w:t>established two types of NAAQS.  Primary standards set limits to protect public health, including the health of "sensitive" populations such as asthmatics, children, and the elderly.  Secondary standards set limits to protect public wel</w:t>
      </w:r>
      <w:r>
        <w:t>fare, including protection against visibility impairment and damage to animals, crops, vegetation, and buildings.  The Clean Air Act</w:t>
      </w:r>
      <w:r>
        <w:rPr>
          <w:rStyle w:val="FootnoteReference"/>
          <w:vertAlign w:val="superscript"/>
        </w:rPr>
        <w:footnoteReference w:id="35"/>
      </w:r>
      <w:r>
        <w:t xml:space="preserve"> requires periodic review of the science upon which the standards are based and the standards themselves.  The USEPA has se</w:t>
      </w:r>
      <w:r>
        <w:t xml:space="preserve">t NAAQS for six criteria pollutant. These criteria pollutants are carbon monoxide, lead, nitrogen dioxide, particulate matter, ozone, and sulfur oxides.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lastRenderedPageBreak/>
        <w:t>In July of 1997, the USEPA revised the primary (health-based) particulate matter standards by promulg</w:t>
      </w:r>
      <w:r>
        <w:t>ating two PM</w:t>
      </w:r>
      <w:r>
        <w:rPr>
          <w:vertAlign w:val="subscript"/>
        </w:rPr>
        <w:t>2.5</w:t>
      </w:r>
      <w:r>
        <w:t xml:space="preserve"> NAAQS: a 24-hour PM</w:t>
      </w:r>
      <w:r>
        <w:rPr>
          <w:vertAlign w:val="subscript"/>
        </w:rPr>
        <w:t>2.5</w:t>
      </w:r>
      <w:r>
        <w:t xml:space="preserve"> standard set at 65 micrograms per cubic meter (µg/m</w:t>
      </w:r>
      <w:r>
        <w:rPr>
          <w:vertAlign w:val="superscript"/>
        </w:rPr>
        <w:t>3</w:t>
      </w:r>
      <w:r>
        <w:t>) (24-hour average) and an annual PM</w:t>
      </w:r>
      <w:r>
        <w:rPr>
          <w:vertAlign w:val="subscript"/>
        </w:rPr>
        <w:t>2.5</w:t>
      </w:r>
      <w:r>
        <w:t xml:space="preserve"> standard set at 15 µg/m</w:t>
      </w:r>
      <w:r>
        <w:rPr>
          <w:vertAlign w:val="superscript"/>
        </w:rPr>
        <w:t>3</w:t>
      </w:r>
      <w:r>
        <w:t xml:space="preserve"> (annual arithmetic mean).  The USEPA added these new PM</w:t>
      </w:r>
      <w:r>
        <w:rPr>
          <w:vertAlign w:val="subscript"/>
        </w:rPr>
        <w:t>2.5</w:t>
      </w:r>
      <w:r>
        <w:t xml:space="preserve"> standards while retaining the existing an</w:t>
      </w:r>
      <w:r>
        <w:t>nual PM</w:t>
      </w:r>
      <w:r>
        <w:rPr>
          <w:vertAlign w:val="subscript"/>
        </w:rPr>
        <w:t>10</w:t>
      </w:r>
      <w:r>
        <w:t xml:space="preserve"> standard of 50 µg/m</w:t>
      </w:r>
      <w:r>
        <w:rPr>
          <w:vertAlign w:val="superscript"/>
        </w:rPr>
        <w:t>3</w:t>
      </w:r>
      <w:r>
        <w:t xml:space="preserve"> and adjusting the PM</w:t>
      </w:r>
      <w:r>
        <w:rPr>
          <w:vertAlign w:val="subscript"/>
        </w:rPr>
        <w:t>10</w:t>
      </w:r>
      <w:r>
        <w:t xml:space="preserve"> 24-hour standard of 150 µg/m</w:t>
      </w:r>
      <w:r>
        <w:rPr>
          <w:vertAlign w:val="superscript"/>
        </w:rPr>
        <w:t>3</w:t>
      </w:r>
      <w:r>
        <w:t xml:space="preserve"> by changing the form of the standard.  The ambient air quality in New Jersey continues to meet the PM</w:t>
      </w:r>
      <w:r>
        <w:rPr>
          <w:vertAlign w:val="subscript"/>
        </w:rPr>
        <w:t>10</w:t>
      </w:r>
      <w:r>
        <w:t xml:space="preserve"> NAAQS and is designated as attainment.</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 xml:space="preserve">After the USEPA promulgated </w:t>
      </w:r>
      <w:r>
        <w:t>the PM</w:t>
      </w:r>
      <w:r>
        <w:rPr>
          <w:vertAlign w:val="subscript"/>
        </w:rPr>
        <w:t>2.5</w:t>
      </w:r>
      <w:r>
        <w:t xml:space="preserve"> and 8-hour ozone standards in July 1997, several industry organizations and state governments challenged USEPA's action in the U.S. Court of Appeals for the District of Columbia Circuit (the D.C. Circuit). After several years of legal challenges,</w:t>
      </w:r>
      <w:r>
        <w:t xml:space="preserve"> some of which were heard by the United States Supreme Court, the D.C. Circuit issued its decision on March 26, 2002 rejecting the claim that the USEPA had acted arbitrarily and capriciously in setting the levels of the standards.  This last decision by th</w:t>
      </w:r>
      <w:r>
        <w:t>e D.C. Circuit gave the USEPA a clear path to move forward with implementation of the PM</w:t>
      </w:r>
      <w:r>
        <w:rPr>
          <w:vertAlign w:val="subscript"/>
        </w:rPr>
        <w:t>2.5</w:t>
      </w:r>
      <w:r>
        <w:t xml:space="preserve"> standards.</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Clean Air Act (42 U.S.C. §7409(d)) requires the USEPA to periodically review air quality standards to ensure they provide adequate health and enviro</w:t>
      </w:r>
      <w:r>
        <w:t>nmental protection and to update those standards if necessary.  The USEPA has proposed revisions to strengthen the current PM</w:t>
      </w:r>
      <w:r>
        <w:rPr>
          <w:vertAlign w:val="subscript"/>
        </w:rPr>
        <w:t>2.5</w:t>
      </w:r>
      <w:r>
        <w:t xml:space="preserve"> standards as well as proposed a standard for reducing inhalable coarse particles (particles between 2.5 and 10 micrometers).  T</w:t>
      </w:r>
      <w:r>
        <w:t>he USEPA has established a tentative timeline for this process that includes November of 2006 as the effective date of the revised/new standards, July of 2013 as the effective date of designations, and July of 2018 as the prospective attainment date.</w:t>
      </w: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31"/>
        </w:numPr>
        <w:tabs>
          <w:tab w:val="clear" w:pos="720"/>
          <w:tab w:val="left" w:pos="1080"/>
          <w:tab w:val="left" w:pos="1440"/>
          <w:tab w:val="left" w:pos="1800"/>
          <w:tab w:val="num" w:pos="2160"/>
        </w:tabs>
        <w:ind w:left="2160" w:hanging="1080"/>
        <w:rPr>
          <w:b/>
        </w:rPr>
      </w:pPr>
      <w:bookmarkStart w:id="120" w:name="PM_Designation"/>
      <w:bookmarkStart w:id="121" w:name="_Hlt126637303"/>
      <w:bookmarkEnd w:id="121"/>
      <w:r>
        <w:rPr>
          <w:b/>
        </w:rPr>
        <w:t>Desi</w:t>
      </w:r>
      <w:r>
        <w:rPr>
          <w:b/>
        </w:rPr>
        <w:t>gnation of PM</w:t>
      </w:r>
      <w:r>
        <w:rPr>
          <w:b/>
          <w:vertAlign w:val="subscript"/>
        </w:rPr>
        <w:t>2.5</w:t>
      </w:r>
      <w:r>
        <w:rPr>
          <w:b/>
        </w:rPr>
        <w:t xml:space="preserve"> Nonattainment Areas in New Jersey</w:t>
      </w:r>
      <w:bookmarkEnd w:id="120"/>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USEPA promulgated the NAAQS for PM</w:t>
      </w:r>
      <w:r>
        <w:rPr>
          <w:vertAlign w:val="subscript"/>
        </w:rPr>
        <w:t>2.5</w:t>
      </w:r>
      <w:r>
        <w:t xml:space="preserve"> in July of 1997.  According to the Clean Air Act, states and tribes are required to submit recommendations for designations no later than one year after a NAAQS h</w:t>
      </w:r>
      <w:r>
        <w:t xml:space="preserve">as been revised or newly promulgated.  The USEPA is then required to designate areas across the country within two years following the promulgation of the NAAQS.  USEPA may extend the time period for making designations by up to one additional year if the </w:t>
      </w:r>
      <w:r>
        <w:t>USEPA lacks sufficient information to make the designations.</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USEPA issued final area designations for PM</w:t>
      </w:r>
      <w:r>
        <w:rPr>
          <w:vertAlign w:val="subscript"/>
        </w:rPr>
        <w:t>2.5</w:t>
      </w:r>
      <w:r>
        <w:t xml:space="preserve"> on December 17, 2004.  The affected New Jersey counties are shown in Figure III.  Designations became effective on April 5, 2005.  Transportati</w:t>
      </w:r>
      <w:r>
        <w:t>on conformity for PM</w:t>
      </w:r>
      <w:r>
        <w:rPr>
          <w:vertAlign w:val="subscript"/>
        </w:rPr>
        <w:t>2.5</w:t>
      </w:r>
      <w:r>
        <w:t xml:space="preserve"> becomes effective on April 5, 2006.  This is because there is a one-year grace period from the effective date of designations before transportation conformity applies for that standard.</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States with designated PM</w:t>
      </w:r>
      <w:r>
        <w:rPr>
          <w:vertAlign w:val="subscript"/>
        </w:rPr>
        <w:t>2.5</w:t>
      </w:r>
      <w:r>
        <w:t xml:space="preserve"> nonattainment ar</w:t>
      </w:r>
      <w:r>
        <w:t>eas are required to develop a SIP and submit it to the USEPA within three years of designation or April of 2008</w:t>
      </w:r>
      <w:r>
        <w:rPr>
          <w:rStyle w:val="FootnoteReference"/>
          <w:vertAlign w:val="superscript"/>
        </w:rPr>
        <w:footnoteReference w:id="36"/>
      </w:r>
      <w:r>
        <w:t>.  This plan must include enforceable measures for reducing air pollutant emissions leading to the formation of fine particles in the atmosphere</w:t>
      </w:r>
      <w:r>
        <w:t>.  The plan must also provide steps for the area to attain the PM</w:t>
      </w:r>
      <w:r>
        <w:rPr>
          <w:vertAlign w:val="subscript"/>
        </w:rPr>
        <w:t>2.5</w:t>
      </w:r>
      <w:r>
        <w:t xml:space="preserve"> standard as quickly as possible.  The USEPA has recently issued a proposed PM</w:t>
      </w:r>
      <w:r>
        <w:rPr>
          <w:vertAlign w:val="subscript"/>
        </w:rPr>
        <w:t>2.5</w:t>
      </w:r>
      <w:r>
        <w:t xml:space="preserve"> </w:t>
      </w:r>
      <w:r>
        <w:lastRenderedPageBreak/>
        <w:t>implementation rule to provide further guidance on what should be included in PM</w:t>
      </w:r>
      <w:r>
        <w:rPr>
          <w:vertAlign w:val="subscript"/>
        </w:rPr>
        <w:t>2.5</w:t>
      </w:r>
      <w:r>
        <w:t xml:space="preserve"> plans.  State plans ne</w:t>
      </w:r>
      <w:r>
        <w:t>ed to demonstrate that the nonattainment area will attain the standards "as expeditiously as practicable."</w:t>
      </w: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31"/>
        </w:numPr>
        <w:tabs>
          <w:tab w:val="clear" w:pos="720"/>
          <w:tab w:val="left" w:pos="1080"/>
          <w:tab w:val="left" w:pos="1440"/>
          <w:tab w:val="left" w:pos="1800"/>
          <w:tab w:val="num" w:pos="2160"/>
        </w:tabs>
        <w:ind w:left="2160" w:hanging="1080"/>
        <w:rPr>
          <w:b/>
        </w:rPr>
      </w:pPr>
      <w:bookmarkStart w:id="122" w:name="Trans_Conf_PM"/>
      <w:bookmarkStart w:id="123" w:name="_Hlt126641385"/>
      <w:bookmarkEnd w:id="123"/>
      <w:r>
        <w:rPr>
          <w:b/>
        </w:rPr>
        <w:t>Transportation Conformity for PM</w:t>
      </w:r>
      <w:r>
        <w:rPr>
          <w:b/>
          <w:vertAlign w:val="subscript"/>
        </w:rPr>
        <w:t>2.5</w:t>
      </w:r>
      <w:bookmarkEnd w:id="122"/>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Transportation Conformity Rules that established the criteria and procedures relating to transportation con</w:t>
      </w:r>
      <w:r>
        <w:t>formity for PM</w:t>
      </w:r>
      <w:r>
        <w:rPr>
          <w:vertAlign w:val="subscript"/>
        </w:rPr>
        <w:t>2.5</w:t>
      </w:r>
      <w:r>
        <w:t xml:space="preserve"> were promulgated by the USEPA on July 1, 2004.</w:t>
      </w:r>
      <w:r>
        <w:rPr>
          <w:rStyle w:val="FootnoteReference"/>
          <w:sz w:val="20"/>
          <w:vertAlign w:val="superscript"/>
        </w:rPr>
        <w:footnoteReference w:id="37"/>
      </w:r>
      <w:r>
        <w:t xml:space="preserve">  Before a SIP budget is available, either through an adequacy finding or approval by the USEPA, conformity of the transportation plan, transportation improvement program, or project not from</w:t>
      </w:r>
      <w:r>
        <w:t xml:space="preserve"> a conforming plan is demonstrated with the interim emissions tests.</w:t>
      </w:r>
      <w:r>
        <w:rPr>
          <w:rStyle w:val="FootnoteReference"/>
          <w:vertAlign w:val="superscript"/>
        </w:rPr>
        <w:footnoteReference w:id="38"/>
      </w:r>
      <w:r>
        <w:t xml:space="preserve"> The interim emissions tests for PM</w:t>
      </w:r>
      <w:r>
        <w:rPr>
          <w:vertAlign w:val="subscript"/>
        </w:rPr>
        <w:t>2.5</w:t>
      </w:r>
      <w:r>
        <w:t xml:space="preserve"> are either the baseline year test or the build/no-greater-than-no-build test.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baseline year test is passed when the emissions from the propos</w:t>
      </w:r>
      <w:r>
        <w:t>ed transportation system are either less than or no greater than 2002 motor vehicle emissions in a given nonattainment area.  Conformity is demonstrated with the build/no-greater-than-no-build test if emissions from the proposed transportation system (“bui</w:t>
      </w:r>
      <w:r>
        <w:t>ld” or “action” scenario) are less than or equal to the emissions in the same future analysis year from the existing transportation system (“no-build” or “baseline” scenario).  The Metropolitan Planning Organizations in PM</w:t>
      </w:r>
      <w:r>
        <w:rPr>
          <w:vertAlign w:val="subscript"/>
        </w:rPr>
        <w:t>2.5</w:t>
      </w:r>
      <w:r>
        <w:t xml:space="preserve"> nonattainment areas must utili</w:t>
      </w:r>
      <w:r>
        <w:t>ze either the baseline year test or the build/no-greater-than-no-build test until the budgets are found adequate by the USEPA. Regardless of the test performed, conformity analyses are subject to final approval by the United States Department of Transporta</w:t>
      </w:r>
      <w:r>
        <w:t xml:space="preserve">tion.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Four transportation related PM</w:t>
      </w:r>
      <w:r>
        <w:rPr>
          <w:vertAlign w:val="subscript"/>
        </w:rPr>
        <w:t>2.5</w:t>
      </w:r>
      <w:r>
        <w:t xml:space="preserve"> precursors – NO</w:t>
      </w:r>
      <w:r>
        <w:rPr>
          <w:vertAlign w:val="subscript"/>
        </w:rPr>
        <w:t>x</w:t>
      </w:r>
      <w:r>
        <w:t>, VOCs, SO</w:t>
      </w:r>
      <w:r>
        <w:rPr>
          <w:vertAlign w:val="subscript"/>
        </w:rPr>
        <w:t>x</w:t>
      </w:r>
      <w:r>
        <w:t>, and NH</w:t>
      </w:r>
      <w:r>
        <w:rPr>
          <w:vertAlign w:val="subscript"/>
        </w:rPr>
        <w:t>3</w:t>
      </w:r>
      <w:r>
        <w:t xml:space="preserve"> – must be considered in the conformity process in PM</w:t>
      </w:r>
      <w:r>
        <w:rPr>
          <w:vertAlign w:val="subscript"/>
        </w:rPr>
        <w:t>2.5</w:t>
      </w:r>
      <w:r>
        <w:t xml:space="preserve"> nonattainment areas.  The USEPA requirements</w:t>
      </w:r>
      <w:r>
        <w:rPr>
          <w:rStyle w:val="FootnoteReference"/>
          <w:vertAlign w:val="superscript"/>
        </w:rPr>
        <w:footnoteReference w:id="39"/>
      </w:r>
      <w:r>
        <w:t xml:space="preserve"> for the consideration of PM</w:t>
      </w:r>
      <w:r>
        <w:rPr>
          <w:vertAlign w:val="subscript"/>
        </w:rPr>
        <w:t>2.5</w:t>
      </w:r>
      <w:r>
        <w:t xml:space="preserve"> precursors are:  </w:t>
      </w: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62"/>
        </w:numPr>
        <w:tabs>
          <w:tab w:val="left" w:pos="1080"/>
          <w:tab w:val="left" w:pos="1440"/>
          <w:tab w:val="left" w:pos="1800"/>
          <w:tab w:val="left" w:pos="2160"/>
        </w:tabs>
      </w:pPr>
      <w:r>
        <w:t>Regional emissions analys</w:t>
      </w:r>
      <w:r>
        <w:t>is must include NO</w:t>
      </w:r>
      <w:r>
        <w:rPr>
          <w:vertAlign w:val="subscript"/>
        </w:rPr>
        <w:t>x</w:t>
      </w:r>
      <w:r>
        <w:t xml:space="preserve"> as a PM</w:t>
      </w:r>
      <w:r>
        <w:rPr>
          <w:vertAlign w:val="subscript"/>
        </w:rPr>
        <w:t>2.5</w:t>
      </w:r>
      <w:r>
        <w:t xml:space="preserve"> precursor in all PM</w:t>
      </w:r>
      <w:r>
        <w:rPr>
          <w:vertAlign w:val="subscript"/>
        </w:rPr>
        <w:t>2.5</w:t>
      </w:r>
      <w:r>
        <w:t xml:space="preserve"> nonattainment areas, unless the head of the state air agency and the USEPA Regional Administrator make a finding that NO</w:t>
      </w:r>
      <w:r>
        <w:rPr>
          <w:vertAlign w:val="subscript"/>
        </w:rPr>
        <w:t>x</w:t>
      </w:r>
      <w:r>
        <w:t xml:space="preserve"> is not a significant contributor to the PM</w:t>
      </w:r>
      <w:r>
        <w:rPr>
          <w:vertAlign w:val="subscript"/>
        </w:rPr>
        <w:t>2.5</w:t>
      </w:r>
      <w:r>
        <w:t xml:space="preserve"> air quality problem in a given are</w:t>
      </w:r>
      <w:r>
        <w:t xml:space="preserve">a.  </w:t>
      </w:r>
    </w:p>
    <w:p w:rsidR="00000000" w:rsidRDefault="00C40079">
      <w:pPr>
        <w:pStyle w:val="Level2"/>
        <w:tabs>
          <w:tab w:val="left" w:pos="1080"/>
          <w:tab w:val="left" w:pos="1440"/>
          <w:tab w:val="left" w:pos="1800"/>
          <w:tab w:val="left" w:pos="2160"/>
        </w:tabs>
        <w:ind w:left="360"/>
      </w:pPr>
    </w:p>
    <w:p w:rsidR="00000000" w:rsidRDefault="00C40079">
      <w:pPr>
        <w:pStyle w:val="Level2"/>
        <w:numPr>
          <w:ilvl w:val="0"/>
          <w:numId w:val="62"/>
        </w:numPr>
        <w:tabs>
          <w:tab w:val="left" w:pos="1080"/>
          <w:tab w:val="left" w:pos="1440"/>
          <w:tab w:val="left" w:pos="1800"/>
          <w:tab w:val="left" w:pos="2160"/>
        </w:tabs>
      </w:pPr>
      <w:r>
        <w:t>Regional emissions analyses are not required for VOC, SO</w:t>
      </w:r>
      <w:r>
        <w:rPr>
          <w:vertAlign w:val="subscript"/>
        </w:rPr>
        <w:t>x</w:t>
      </w:r>
      <w:r>
        <w:t xml:space="preserve"> or NH</w:t>
      </w:r>
      <w:r>
        <w:rPr>
          <w:vertAlign w:val="subscript"/>
        </w:rPr>
        <w:t>3</w:t>
      </w:r>
      <w:r>
        <w:t xml:space="preserve"> before an approved SIP budget for such precursors is established, unless the head of the state air agency or the USEPA Regional Administrator makes a finding that onroad emissions of an</w:t>
      </w:r>
      <w:r>
        <w:t xml:space="preserve">y of these precursors is a significant contributor.  </w:t>
      </w:r>
      <w:r>
        <w:br w:type="page"/>
      </w:r>
    </w:p>
    <w:p w:rsidR="00000000" w:rsidRDefault="00C40079">
      <w:pPr>
        <w:pStyle w:val="Level2"/>
        <w:tabs>
          <w:tab w:val="left" w:pos="720"/>
          <w:tab w:val="left" w:pos="1080"/>
          <w:tab w:val="left" w:pos="1440"/>
          <w:tab w:val="left" w:pos="1800"/>
          <w:tab w:val="left" w:pos="2160"/>
        </w:tabs>
        <w:jc w:val="center"/>
        <w:rPr>
          <w:b/>
          <w:sz w:val="28"/>
        </w:rPr>
      </w:pPr>
      <w:bookmarkStart w:id="124" w:name="Figure_III"/>
      <w:bookmarkStart w:id="125" w:name="_Hlt126642157"/>
      <w:bookmarkEnd w:id="125"/>
      <w:r>
        <w:rPr>
          <w:b/>
          <w:sz w:val="28"/>
        </w:rPr>
        <w:t xml:space="preserve">Figure </w:t>
      </w:r>
      <w:bookmarkEnd w:id="124"/>
      <w:r>
        <w:rPr>
          <w:b/>
          <w:sz w:val="28"/>
        </w:rPr>
        <w:t>III</w:t>
      </w:r>
    </w:p>
    <w:p w:rsidR="00000000" w:rsidRDefault="00C40079">
      <w:pPr>
        <w:pStyle w:val="Level2"/>
        <w:tabs>
          <w:tab w:val="left" w:pos="720"/>
          <w:tab w:val="left" w:pos="1080"/>
          <w:tab w:val="left" w:pos="1440"/>
          <w:tab w:val="left" w:pos="1800"/>
          <w:tab w:val="left" w:pos="2160"/>
        </w:tabs>
        <w:jc w:val="center"/>
        <w:rPr>
          <w:b/>
        </w:rPr>
      </w:pPr>
    </w:p>
    <w:p w:rsidR="00000000" w:rsidRDefault="00C40079">
      <w:pPr>
        <w:pStyle w:val="Level2"/>
        <w:tabs>
          <w:tab w:val="left" w:pos="720"/>
          <w:tab w:val="left" w:pos="1080"/>
          <w:tab w:val="left" w:pos="1440"/>
          <w:tab w:val="left" w:pos="1800"/>
          <w:tab w:val="left" w:pos="2160"/>
        </w:tabs>
      </w:pPr>
      <w:r>
        <w:pict>
          <v:shape id="_x0000_i1026" type="#_x0000_t75" style="width:435pt;height:581.25pt" fillcolor="window">
            <v:imagedata r:id="rId39" o:title="untitled"/>
          </v:shape>
        </w:pict>
      </w:r>
    </w:p>
    <w:p w:rsidR="00000000" w:rsidRDefault="00C40079">
      <w:pPr>
        <w:pStyle w:val="Level2"/>
        <w:tabs>
          <w:tab w:val="left" w:pos="1080"/>
          <w:tab w:val="left" w:pos="1440"/>
          <w:tab w:val="left" w:pos="1800"/>
          <w:tab w:val="left" w:pos="2160"/>
        </w:tabs>
        <w:ind w:left="360"/>
      </w:pPr>
    </w:p>
    <w:p w:rsidR="00000000" w:rsidRDefault="00C40079">
      <w:pPr>
        <w:pStyle w:val="Level2"/>
        <w:tabs>
          <w:tab w:val="left" w:pos="720"/>
          <w:tab w:val="left" w:pos="1080"/>
          <w:tab w:val="left" w:pos="1440"/>
          <w:tab w:val="left" w:pos="1800"/>
          <w:tab w:val="left" w:pos="2160"/>
        </w:tabs>
      </w:pPr>
      <w:r>
        <w:lastRenderedPageBreak/>
        <w:t>The following criteria are considered in making significance or insignificance findings for PM</w:t>
      </w:r>
      <w:r>
        <w:rPr>
          <w:vertAlign w:val="subscript"/>
        </w:rPr>
        <w:t>2.5</w:t>
      </w:r>
      <w:r>
        <w:t xml:space="preserve"> precursors: </w:t>
      </w: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33"/>
        </w:numPr>
        <w:tabs>
          <w:tab w:val="clear" w:pos="360"/>
          <w:tab w:val="left" w:pos="720"/>
          <w:tab w:val="left" w:pos="1080"/>
          <w:tab w:val="left" w:pos="1440"/>
          <w:tab w:val="left" w:pos="1800"/>
          <w:tab w:val="left" w:pos="2160"/>
        </w:tabs>
        <w:ind w:left="720"/>
      </w:pPr>
      <w:r>
        <w:t>The contribution of onroad emissions of the precursor to the total 2002 ba</w:t>
      </w:r>
      <w:r>
        <w:t xml:space="preserve">seline SIP inventory; </w:t>
      </w:r>
    </w:p>
    <w:p w:rsidR="00000000" w:rsidRDefault="00C40079">
      <w:pPr>
        <w:pStyle w:val="Level2"/>
        <w:numPr>
          <w:ilvl w:val="0"/>
          <w:numId w:val="33"/>
        </w:numPr>
        <w:tabs>
          <w:tab w:val="clear" w:pos="360"/>
          <w:tab w:val="left" w:pos="720"/>
          <w:tab w:val="left" w:pos="1080"/>
          <w:tab w:val="left" w:pos="1440"/>
          <w:tab w:val="left" w:pos="1800"/>
          <w:tab w:val="left" w:pos="2160"/>
        </w:tabs>
        <w:ind w:left="720"/>
      </w:pPr>
      <w:r>
        <w:t xml:space="preserve">The current state of air quality for the area; </w:t>
      </w:r>
    </w:p>
    <w:p w:rsidR="00000000" w:rsidRDefault="00C40079">
      <w:pPr>
        <w:pStyle w:val="Level2"/>
        <w:numPr>
          <w:ilvl w:val="0"/>
          <w:numId w:val="33"/>
        </w:numPr>
        <w:tabs>
          <w:tab w:val="clear" w:pos="360"/>
          <w:tab w:val="left" w:pos="720"/>
          <w:tab w:val="left" w:pos="1080"/>
          <w:tab w:val="left" w:pos="1440"/>
          <w:tab w:val="left" w:pos="1800"/>
          <w:tab w:val="left" w:pos="2160"/>
        </w:tabs>
        <w:ind w:left="720"/>
      </w:pPr>
      <w:r>
        <w:t xml:space="preserve">The results of speciation monitoring for the area; </w:t>
      </w:r>
    </w:p>
    <w:p w:rsidR="00000000" w:rsidRDefault="00C40079">
      <w:pPr>
        <w:pStyle w:val="Level2"/>
        <w:numPr>
          <w:ilvl w:val="0"/>
          <w:numId w:val="33"/>
        </w:numPr>
        <w:tabs>
          <w:tab w:val="clear" w:pos="360"/>
          <w:tab w:val="left" w:pos="720"/>
          <w:tab w:val="left" w:pos="1080"/>
          <w:tab w:val="left" w:pos="1440"/>
          <w:tab w:val="left" w:pos="1800"/>
          <w:tab w:val="left" w:pos="2160"/>
        </w:tabs>
        <w:ind w:left="720"/>
      </w:pPr>
      <w:r>
        <w:t>The likelihood that future motor vehicle control measures will be implemented for a given precursor; and,</w:t>
      </w:r>
    </w:p>
    <w:p w:rsidR="00000000" w:rsidRDefault="00C40079">
      <w:pPr>
        <w:pStyle w:val="Level2"/>
        <w:numPr>
          <w:ilvl w:val="0"/>
          <w:numId w:val="33"/>
        </w:numPr>
        <w:tabs>
          <w:tab w:val="clear" w:pos="360"/>
          <w:tab w:val="left" w:pos="720"/>
          <w:tab w:val="left" w:pos="1080"/>
          <w:tab w:val="left" w:pos="1440"/>
          <w:tab w:val="left" w:pos="1800"/>
          <w:tab w:val="left" w:pos="2160"/>
        </w:tabs>
        <w:ind w:left="720"/>
      </w:pPr>
      <w:r>
        <w:t>Projections of future onroa</w:t>
      </w:r>
      <w:r>
        <w:t xml:space="preserve">d emissions of the precursor.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proposed early budgets for PM</w:t>
      </w:r>
      <w:r>
        <w:rPr>
          <w:vertAlign w:val="subscript"/>
        </w:rPr>
        <w:t>2.5</w:t>
      </w:r>
      <w:r>
        <w:t xml:space="preserve"> precursors include the establishment of an annual NOx budget. The State will study the significance of the other PM</w:t>
      </w:r>
      <w:r>
        <w:rPr>
          <w:vertAlign w:val="subscript"/>
        </w:rPr>
        <w:t>2.5</w:t>
      </w:r>
      <w:r>
        <w:t xml:space="preserve"> precursors in the attainment demonstration SIP, due to be submitted </w:t>
      </w:r>
      <w:r>
        <w:t>in April 2008. Studying the significance of these precursors with the attainment demonstration will enable the State to utilize the best available information, monitoring data, inventory data and modeling data in its determinations.</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31"/>
        </w:numPr>
        <w:tabs>
          <w:tab w:val="left" w:pos="720"/>
          <w:tab w:val="left" w:pos="1080"/>
          <w:tab w:val="left" w:pos="1440"/>
          <w:tab w:val="left" w:pos="1800"/>
          <w:tab w:val="left" w:pos="2160"/>
        </w:tabs>
        <w:ind w:left="2160" w:hanging="1080"/>
        <w:rPr>
          <w:b/>
        </w:rPr>
      </w:pPr>
      <w:bookmarkStart w:id="126" w:name="Early_PM_Budget"/>
      <w:bookmarkStart w:id="127" w:name="_Hlt126641457"/>
      <w:bookmarkEnd w:id="127"/>
      <w:r>
        <w:rPr>
          <w:b/>
        </w:rPr>
        <w:t>Early PM</w:t>
      </w:r>
      <w:r>
        <w:rPr>
          <w:b/>
          <w:vertAlign w:val="subscript"/>
        </w:rPr>
        <w:t>2.5</w:t>
      </w:r>
      <w:r>
        <w:rPr>
          <w:b/>
        </w:rPr>
        <w:t xml:space="preserve"> Transport</w:t>
      </w:r>
      <w:r>
        <w:rPr>
          <w:b/>
        </w:rPr>
        <w:t>ation Conformity Emission Budgets</w:t>
      </w:r>
      <w:bookmarkEnd w:id="126"/>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32"/>
        </w:numPr>
        <w:tabs>
          <w:tab w:val="left" w:pos="720"/>
          <w:tab w:val="left" w:pos="1080"/>
          <w:tab w:val="left" w:pos="1440"/>
          <w:tab w:val="left" w:pos="1800"/>
          <w:tab w:val="left" w:pos="2160"/>
          <w:tab w:val="num" w:pos="2880"/>
        </w:tabs>
        <w:ind w:left="2520" w:hanging="1080"/>
        <w:rPr>
          <w:b/>
        </w:rPr>
      </w:pPr>
      <w:bookmarkStart w:id="128" w:name="PM_and_NOx_Inv"/>
      <w:bookmarkStart w:id="129" w:name="_Hlt126641461"/>
      <w:bookmarkEnd w:id="129"/>
      <w:r>
        <w:rPr>
          <w:b/>
        </w:rPr>
        <w:t>PM</w:t>
      </w:r>
      <w:r>
        <w:rPr>
          <w:b/>
          <w:vertAlign w:val="subscript"/>
        </w:rPr>
        <w:t>2.5</w:t>
      </w:r>
      <w:r>
        <w:rPr>
          <w:b/>
        </w:rPr>
        <w:t xml:space="preserve"> and Annual NO</w:t>
      </w:r>
      <w:r>
        <w:rPr>
          <w:b/>
          <w:vertAlign w:val="subscript"/>
        </w:rPr>
        <w:t>x</w:t>
      </w:r>
      <w:r>
        <w:rPr>
          <w:b/>
        </w:rPr>
        <w:t xml:space="preserve"> Inventories for 2002 and 2009</w:t>
      </w:r>
      <w:bookmarkEnd w:id="128"/>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To establish an early PM</w:t>
      </w:r>
      <w:r>
        <w:rPr>
          <w:vertAlign w:val="subscript"/>
        </w:rPr>
        <w:t>2.5</w:t>
      </w:r>
      <w:r>
        <w:t xml:space="preserve"> budget, the USEPA requires</w:t>
      </w:r>
      <w:r>
        <w:rPr>
          <w:rStyle w:val="FootnoteReference"/>
          <w:sz w:val="20"/>
          <w:vertAlign w:val="superscript"/>
        </w:rPr>
        <w:footnoteReference w:id="40"/>
      </w:r>
      <w:r>
        <w:t xml:space="preserve"> that: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 xml:space="preserve">In reference to the voluntary SIP that includes early budgets, the preamble states: </w:t>
      </w:r>
    </w:p>
    <w:p w:rsidR="00000000" w:rsidRDefault="00C40079">
      <w:pPr>
        <w:pStyle w:val="Level2"/>
        <w:tabs>
          <w:tab w:val="left" w:pos="720"/>
          <w:tab w:val="left" w:pos="1080"/>
          <w:tab w:val="left" w:pos="1440"/>
          <w:tab w:val="left" w:pos="1800"/>
          <w:tab w:val="left" w:pos="2160"/>
        </w:tabs>
        <w:ind w:firstLine="720"/>
      </w:pPr>
    </w:p>
    <w:p w:rsidR="00000000" w:rsidRDefault="00C40079">
      <w:pPr>
        <w:pStyle w:val="Level2"/>
        <w:tabs>
          <w:tab w:val="left" w:pos="720"/>
          <w:tab w:val="left" w:pos="1080"/>
          <w:tab w:val="left" w:pos="1440"/>
          <w:tab w:val="left" w:pos="1800"/>
          <w:tab w:val="left" w:pos="2160"/>
        </w:tabs>
        <w:ind w:left="720" w:right="720"/>
        <w:rPr>
          <w:sz w:val="20"/>
        </w:rPr>
      </w:pPr>
      <w:r>
        <w:rPr>
          <w:sz w:val="20"/>
        </w:rPr>
        <w:t xml:space="preserve">"To be approvable, </w:t>
      </w:r>
      <w:r>
        <w:rPr>
          <w:sz w:val="20"/>
        </w:rPr>
        <w:t>such a SIP would have to include inventories for all source sectors and meet other SIP requirements.  While these early SIPs would have to show some progress toward attainment, it is not a requirement that all of the reductions would come from onroad mobil</w:t>
      </w:r>
      <w:r>
        <w:rPr>
          <w:sz w:val="20"/>
        </w:rPr>
        <w:t>e vehicles."</w:t>
      </w:r>
    </w:p>
    <w:p w:rsidR="00000000" w:rsidRDefault="00C40079">
      <w:pPr>
        <w:pStyle w:val="Level2"/>
        <w:tabs>
          <w:tab w:val="left" w:pos="720"/>
          <w:tab w:val="left" w:pos="1080"/>
          <w:tab w:val="left" w:pos="1440"/>
          <w:tab w:val="left" w:pos="1800"/>
          <w:tab w:val="left" w:pos="2160"/>
        </w:tabs>
        <w:ind w:firstLine="720"/>
      </w:pPr>
    </w:p>
    <w:p w:rsidR="00000000" w:rsidRDefault="00C40079">
      <w:pPr>
        <w:pStyle w:val="Level2"/>
        <w:tabs>
          <w:tab w:val="left" w:pos="720"/>
          <w:tab w:val="left" w:pos="1080"/>
          <w:tab w:val="left" w:pos="1440"/>
          <w:tab w:val="left" w:pos="1800"/>
          <w:tab w:val="left" w:pos="2160"/>
        </w:tabs>
      </w:pPr>
      <w:r>
        <w:t>The term "some progress toward attainment" has been interpreted by the USEPA to mean that the total 2009 inventories for direct PM</w:t>
      </w:r>
      <w:r>
        <w:rPr>
          <w:vertAlign w:val="subscript"/>
        </w:rPr>
        <w:t>2.5</w:t>
      </w:r>
      <w:r>
        <w:t xml:space="preserve"> and annual NO</w:t>
      </w:r>
      <w:r>
        <w:rPr>
          <w:vertAlign w:val="subscript"/>
        </w:rPr>
        <w:t>x</w:t>
      </w:r>
      <w:r>
        <w:t xml:space="preserve"> to be less than the 2002 values by at least five to ten percent.</w:t>
      </w:r>
      <w:r>
        <w:rPr>
          <w:rStyle w:val="FootnoteReference"/>
          <w:rFonts w:ascii="Times New (W1)" w:hAnsi="Times New (W1)"/>
          <w:vertAlign w:val="superscript"/>
        </w:rPr>
        <w:footnoteReference w:id="41"/>
      </w:r>
      <w:r>
        <w:t xml:space="preserve">  Annual NO</w:t>
      </w:r>
      <w:r>
        <w:rPr>
          <w:vertAlign w:val="subscript"/>
        </w:rPr>
        <w:t>x</w:t>
      </w:r>
      <w:r>
        <w:t xml:space="preserve"> is the only PM</w:t>
      </w:r>
      <w:r>
        <w:rPr>
          <w:vertAlign w:val="subscript"/>
        </w:rPr>
        <w:t>2</w:t>
      </w:r>
      <w:r>
        <w:rPr>
          <w:vertAlign w:val="subscript"/>
        </w:rPr>
        <w:t>.5</w:t>
      </w:r>
      <w:r>
        <w:t xml:space="preserve"> precursor for which a budget is being established at this time.  The additional information and data on PM</w:t>
      </w:r>
      <w:r>
        <w:rPr>
          <w:vertAlign w:val="subscript"/>
        </w:rPr>
        <w:t>2.5</w:t>
      </w:r>
      <w:r>
        <w:t xml:space="preserve"> precursors that will be available during the preparation of the PM</w:t>
      </w:r>
      <w:r>
        <w:rPr>
          <w:vertAlign w:val="subscript"/>
        </w:rPr>
        <w:t>2.5</w:t>
      </w:r>
      <w:r>
        <w:t xml:space="preserve"> attainment demonstration may result in the establishment of budgets for a</w:t>
      </w:r>
      <w:r>
        <w:t>dditional or different specific precursors. The five percent to ten percent criteria is  met for the New Jersey portion of the New York/New Jersey/Long Island /Connecticut PM</w:t>
      </w:r>
      <w:r>
        <w:rPr>
          <w:vertAlign w:val="subscript"/>
        </w:rPr>
        <w:t xml:space="preserve">2.5 </w:t>
      </w:r>
      <w:r>
        <w:rPr>
          <w:rFonts w:ascii="Times New (W1)" w:hAnsi="Times New (W1)"/>
        </w:rPr>
        <w:t xml:space="preserve">nonattainment </w:t>
      </w:r>
      <w:r>
        <w:t>area but is not met for the New Jersey portion of the Philadelph</w:t>
      </w:r>
      <w:r>
        <w:t>ia/Wilmington PM</w:t>
      </w:r>
      <w:r>
        <w:rPr>
          <w:vertAlign w:val="subscript"/>
        </w:rPr>
        <w:t xml:space="preserve">2.5 </w:t>
      </w:r>
      <w:r>
        <w:rPr>
          <w:rFonts w:ascii="Times New (W1)" w:hAnsi="Times New (W1)"/>
        </w:rPr>
        <w:t>nonattainment</w:t>
      </w:r>
      <w:r>
        <w:rPr>
          <w:vertAlign w:val="subscript"/>
        </w:rPr>
        <w:t xml:space="preserve"> </w:t>
      </w:r>
      <w:r>
        <w:t>area. Preliminary results show a small increase in overall direct PM</w:t>
      </w:r>
      <w:r>
        <w:rPr>
          <w:vertAlign w:val="subscript"/>
        </w:rPr>
        <w:t>2.5</w:t>
      </w:r>
      <w:r>
        <w:t xml:space="preserve"> emissions between 2002 and 2009 for the New Jersey portion of the Philadelphia/Wilmington PM</w:t>
      </w:r>
      <w:r>
        <w:rPr>
          <w:vertAlign w:val="subscript"/>
        </w:rPr>
        <w:t xml:space="preserve">2.5 </w:t>
      </w:r>
      <w:r>
        <w:rPr>
          <w:rFonts w:ascii="Times New (W1)" w:hAnsi="Times New (W1)"/>
        </w:rPr>
        <w:t>nonattainment</w:t>
      </w:r>
      <w:r>
        <w:rPr>
          <w:vertAlign w:val="subscript"/>
        </w:rPr>
        <w:t xml:space="preserve"> </w:t>
      </w:r>
      <w:r>
        <w:t>area. Therefore, early PM</w:t>
      </w:r>
      <w:r>
        <w:rPr>
          <w:vertAlign w:val="subscript"/>
        </w:rPr>
        <w:t xml:space="preserve">2.5 </w:t>
      </w:r>
      <w:r>
        <w:t>budgets</w:t>
      </w:r>
      <w:r>
        <w:rPr>
          <w:vertAlign w:val="subscript"/>
        </w:rPr>
        <w:t xml:space="preserve"> </w:t>
      </w:r>
      <w:r>
        <w:t>are</w:t>
      </w:r>
      <w:r>
        <w:t xml:space="preserve"> being established for the New Jersey portion of the New York/New Jersey/Long Island /Connecticut PM</w:t>
      </w:r>
      <w:r>
        <w:rPr>
          <w:vertAlign w:val="subscript"/>
        </w:rPr>
        <w:t xml:space="preserve">2.5 </w:t>
      </w:r>
      <w:r>
        <w:rPr>
          <w:rFonts w:ascii="Times New (W1)" w:hAnsi="Times New (W1)"/>
        </w:rPr>
        <w:t>nonattainment</w:t>
      </w:r>
      <w:r>
        <w:rPr>
          <w:vertAlign w:val="subscript"/>
        </w:rPr>
        <w:t xml:space="preserve"> </w:t>
      </w:r>
      <w:r>
        <w:t xml:space="preserve">area only.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Table VIII shows the results of the 2002 and 2009 direct PM</w:t>
      </w:r>
      <w:r>
        <w:rPr>
          <w:vertAlign w:val="subscript"/>
        </w:rPr>
        <w:t>2.5</w:t>
      </w:r>
      <w:r>
        <w:t xml:space="preserve"> inventory (with anticipated controls in place) by source type </w:t>
      </w:r>
      <w:r>
        <w:t>for the New Jersey counties in the New York /New Jersey/Long Island/Connecticut PM</w:t>
      </w:r>
      <w:r>
        <w:rPr>
          <w:vertAlign w:val="subscript"/>
        </w:rPr>
        <w:t>2.5</w:t>
      </w:r>
      <w:r>
        <w:t xml:space="preserve"> nonattainment area.  Emissions from controlled stationary and area sources are projected to increase by nine and three percent respectively, for a total increase of 438 t</w:t>
      </w:r>
      <w:r>
        <w:t>ons per year.  The increase is projected to be more than offset by projected decreases in PM</w:t>
      </w:r>
      <w:r>
        <w:rPr>
          <w:vertAlign w:val="subscript"/>
        </w:rPr>
        <w:t>2.5</w:t>
      </w:r>
      <w:r>
        <w:t xml:space="preserve"> emissions from onroad and nonroad mobile sources, by a total of 1,343 tons per year, for an overall decrease of 905 tons per year by 2009; this represent an ove</w:t>
      </w:r>
      <w:r>
        <w:t>rall 6.5% reduction in direct PM</w:t>
      </w:r>
      <w:r>
        <w:rPr>
          <w:vertAlign w:val="subscript"/>
        </w:rPr>
        <w:t>2.5</w:t>
      </w:r>
      <w:r>
        <w:t xml:space="preserve"> emissions, see Table IX. Thus the area meets the USEPA’s criteria for “progress toward attainment” for direct PM</w:t>
      </w:r>
      <w:r>
        <w:rPr>
          <w:vertAlign w:val="subscript"/>
        </w:rPr>
        <w:t xml:space="preserve">2.5 </w:t>
      </w:r>
      <w:r>
        <w:t xml:space="preserve">emissions.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jc w:val="center"/>
        <w:rPr>
          <w:b/>
        </w:rPr>
      </w:pPr>
      <w:bookmarkStart w:id="130" w:name="Table_VIII"/>
      <w:bookmarkStart w:id="131" w:name="_Hlt126641896"/>
      <w:bookmarkEnd w:id="131"/>
      <w:r>
        <w:rPr>
          <w:b/>
        </w:rPr>
        <w:t>Table VI</w:t>
      </w:r>
      <w:bookmarkEnd w:id="130"/>
      <w:r>
        <w:rPr>
          <w:b/>
        </w:rPr>
        <w:t xml:space="preserve">II </w:t>
      </w:r>
    </w:p>
    <w:p w:rsidR="00000000" w:rsidRDefault="00C40079">
      <w:pPr>
        <w:pStyle w:val="Level2"/>
        <w:tabs>
          <w:tab w:val="left" w:pos="720"/>
          <w:tab w:val="left" w:pos="1080"/>
          <w:tab w:val="left" w:pos="1440"/>
          <w:tab w:val="left" w:pos="1800"/>
          <w:tab w:val="left" w:pos="2160"/>
        </w:tabs>
        <w:jc w:val="center"/>
        <w:rPr>
          <w:b/>
        </w:rPr>
      </w:pPr>
      <w:r>
        <w:rPr>
          <w:b/>
        </w:rPr>
        <w:t>Direct PM</w:t>
      </w:r>
      <w:r>
        <w:rPr>
          <w:b/>
          <w:vertAlign w:val="subscript"/>
        </w:rPr>
        <w:t>2.5</w:t>
      </w:r>
      <w:r>
        <w:rPr>
          <w:b/>
        </w:rPr>
        <w:t xml:space="preserve"> Emission Inventories for 2002 and 2009 for the New Jersey Porti</w:t>
      </w:r>
      <w:r>
        <w:rPr>
          <w:b/>
        </w:rPr>
        <w:t xml:space="preserve">on of the </w:t>
      </w:r>
    </w:p>
    <w:p w:rsidR="00000000" w:rsidRDefault="00C40079">
      <w:pPr>
        <w:pStyle w:val="Level2"/>
        <w:tabs>
          <w:tab w:val="left" w:pos="720"/>
          <w:tab w:val="left" w:pos="1080"/>
          <w:tab w:val="left" w:pos="1440"/>
          <w:tab w:val="left" w:pos="1800"/>
          <w:tab w:val="left" w:pos="2160"/>
        </w:tabs>
        <w:jc w:val="center"/>
        <w:rPr>
          <w:b/>
        </w:rPr>
      </w:pPr>
      <w:r>
        <w:rPr>
          <w:b/>
        </w:rPr>
        <w:t>New York /New Jersey/Long Island/Connecticut PM</w:t>
      </w:r>
      <w:r>
        <w:rPr>
          <w:b/>
          <w:vertAlign w:val="subscript"/>
        </w:rPr>
        <w:t>2.5</w:t>
      </w:r>
      <w:r>
        <w:rPr>
          <w:b/>
        </w:rPr>
        <w:t xml:space="preserve"> Nonattainment Area</w:t>
      </w:r>
    </w:p>
    <w:p w:rsidR="00000000" w:rsidRDefault="00C40079">
      <w:pPr>
        <w:pStyle w:val="Level2"/>
        <w:tabs>
          <w:tab w:val="left" w:pos="720"/>
          <w:tab w:val="left" w:pos="1080"/>
          <w:tab w:val="left" w:pos="1440"/>
          <w:tab w:val="left" w:pos="1800"/>
          <w:tab w:val="left" w:pos="2160"/>
        </w:tabs>
      </w:pPr>
    </w:p>
    <w:tbl>
      <w:tblPr>
        <w:tblW w:w="0" w:type="auto"/>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00" w:firstRow="0" w:lastRow="0" w:firstColumn="0" w:lastColumn="0" w:noHBand="0" w:noVBand="0"/>
      </w:tblPr>
      <w:tblGrid>
        <w:gridCol w:w="1404"/>
        <w:gridCol w:w="720"/>
        <w:gridCol w:w="720"/>
        <w:gridCol w:w="900"/>
        <w:gridCol w:w="720"/>
        <w:gridCol w:w="720"/>
        <w:gridCol w:w="900"/>
        <w:gridCol w:w="720"/>
        <w:gridCol w:w="720"/>
        <w:gridCol w:w="720"/>
        <w:gridCol w:w="720"/>
        <w:gridCol w:w="720"/>
        <w:gridCol w:w="900"/>
      </w:tblGrid>
      <w:tr w:rsidR="00000000">
        <w:tblPrEx>
          <w:tblCellMar>
            <w:top w:w="0" w:type="dxa"/>
            <w:bottom w:w="0" w:type="dxa"/>
          </w:tblCellMar>
        </w:tblPrEx>
        <w:trPr>
          <w:cantSplit/>
        </w:trPr>
        <w:tc>
          <w:tcPr>
            <w:tcW w:w="1404" w:type="dxa"/>
            <w:vMerge w:val="restart"/>
          </w:tcPr>
          <w:p w:rsidR="00000000" w:rsidRDefault="00C40079">
            <w:pPr>
              <w:pStyle w:val="Level2"/>
              <w:tabs>
                <w:tab w:val="left" w:pos="720"/>
                <w:tab w:val="left" w:pos="1080"/>
                <w:tab w:val="left" w:pos="1440"/>
                <w:tab w:val="left" w:pos="1800"/>
                <w:tab w:val="left" w:pos="2160"/>
              </w:tabs>
              <w:jc w:val="center"/>
              <w:rPr>
                <w:sz w:val="20"/>
              </w:rPr>
            </w:pPr>
          </w:p>
        </w:tc>
        <w:tc>
          <w:tcPr>
            <w:tcW w:w="9180" w:type="dxa"/>
            <w:gridSpan w:val="12"/>
          </w:tcPr>
          <w:p w:rsidR="00000000" w:rsidRDefault="00C40079">
            <w:pPr>
              <w:pStyle w:val="Level2"/>
              <w:tabs>
                <w:tab w:val="left" w:pos="720"/>
                <w:tab w:val="left" w:pos="1080"/>
                <w:tab w:val="left" w:pos="1440"/>
                <w:tab w:val="left" w:pos="1800"/>
                <w:tab w:val="left" w:pos="2160"/>
              </w:tabs>
              <w:jc w:val="center"/>
              <w:rPr>
                <w:b/>
                <w:sz w:val="20"/>
              </w:rPr>
            </w:pPr>
            <w:r>
              <w:rPr>
                <w:b/>
                <w:sz w:val="20"/>
              </w:rPr>
              <w:t>DIRECT ANNUAL PM</w:t>
            </w:r>
            <w:r>
              <w:rPr>
                <w:b/>
                <w:sz w:val="20"/>
                <w:vertAlign w:val="subscript"/>
              </w:rPr>
              <w:t>2.5</w:t>
            </w:r>
            <w:r>
              <w:rPr>
                <w:b/>
                <w:sz w:val="20"/>
              </w:rPr>
              <w:t xml:space="preserve"> CONTROLLED EMISSIONS (TONS PER YEAR) </w:t>
            </w:r>
            <w:r>
              <w:rPr>
                <w:b/>
                <w:sz w:val="20"/>
                <w:vertAlign w:val="superscript"/>
              </w:rPr>
              <w:t>(1)</w:t>
            </w:r>
          </w:p>
        </w:tc>
      </w:tr>
      <w:tr w:rsidR="00000000">
        <w:tblPrEx>
          <w:tblCellMar>
            <w:top w:w="0" w:type="dxa"/>
            <w:bottom w:w="0" w:type="dxa"/>
          </w:tblCellMar>
        </w:tblPrEx>
        <w:trPr>
          <w:cantSplit/>
        </w:trPr>
        <w:tc>
          <w:tcPr>
            <w:tcW w:w="1404" w:type="dxa"/>
            <w:vMerge/>
          </w:tcPr>
          <w:p w:rsidR="00000000" w:rsidRDefault="00C40079">
            <w:pPr>
              <w:pStyle w:val="Level2"/>
              <w:tabs>
                <w:tab w:val="left" w:pos="720"/>
                <w:tab w:val="left" w:pos="1080"/>
                <w:tab w:val="left" w:pos="1440"/>
                <w:tab w:val="left" w:pos="1800"/>
                <w:tab w:val="left" w:pos="2160"/>
              </w:tabs>
              <w:jc w:val="center"/>
              <w:rPr>
                <w:sz w:val="20"/>
              </w:rPr>
            </w:pPr>
          </w:p>
        </w:tc>
        <w:tc>
          <w:tcPr>
            <w:tcW w:w="2340" w:type="dxa"/>
            <w:gridSpan w:val="3"/>
          </w:tcPr>
          <w:p w:rsidR="00000000" w:rsidRDefault="00C40079">
            <w:pPr>
              <w:tabs>
                <w:tab w:val="left" w:pos="720"/>
                <w:tab w:val="left" w:pos="1080"/>
                <w:tab w:val="left" w:pos="1440"/>
                <w:tab w:val="left" w:pos="1800"/>
                <w:tab w:val="left" w:pos="2160"/>
              </w:tabs>
              <w:jc w:val="center"/>
              <w:rPr>
                <w:b/>
                <w:snapToGrid w:val="0"/>
                <w:color w:val="000000"/>
              </w:rPr>
            </w:pPr>
            <w:r>
              <w:rPr>
                <w:b/>
                <w:snapToGrid w:val="0"/>
                <w:color w:val="000000"/>
              </w:rPr>
              <w:t>AREA</w:t>
            </w:r>
          </w:p>
        </w:tc>
        <w:tc>
          <w:tcPr>
            <w:tcW w:w="2340" w:type="dxa"/>
            <w:gridSpan w:val="3"/>
          </w:tcPr>
          <w:p w:rsidR="00000000" w:rsidRDefault="00C40079">
            <w:pPr>
              <w:tabs>
                <w:tab w:val="left" w:pos="720"/>
                <w:tab w:val="left" w:pos="1080"/>
                <w:tab w:val="left" w:pos="1440"/>
                <w:tab w:val="left" w:pos="1800"/>
                <w:tab w:val="left" w:pos="2160"/>
              </w:tabs>
              <w:jc w:val="center"/>
              <w:rPr>
                <w:b/>
                <w:snapToGrid w:val="0"/>
                <w:color w:val="000000"/>
              </w:rPr>
            </w:pPr>
            <w:r>
              <w:rPr>
                <w:b/>
                <w:snapToGrid w:val="0"/>
                <w:color w:val="000000"/>
              </w:rPr>
              <w:t>NONROAD</w:t>
            </w:r>
          </w:p>
        </w:tc>
        <w:tc>
          <w:tcPr>
            <w:tcW w:w="2160" w:type="dxa"/>
            <w:gridSpan w:val="3"/>
          </w:tcPr>
          <w:p w:rsidR="00000000" w:rsidRDefault="00C40079">
            <w:pPr>
              <w:pStyle w:val="Level2"/>
              <w:tabs>
                <w:tab w:val="left" w:pos="720"/>
                <w:tab w:val="left" w:pos="1080"/>
                <w:tab w:val="left" w:pos="1440"/>
                <w:tab w:val="left" w:pos="1800"/>
                <w:tab w:val="left" w:pos="2160"/>
              </w:tabs>
              <w:jc w:val="center"/>
              <w:rPr>
                <w:b/>
                <w:sz w:val="20"/>
              </w:rPr>
            </w:pPr>
            <w:r>
              <w:rPr>
                <w:b/>
                <w:snapToGrid w:val="0"/>
                <w:color w:val="000000"/>
                <w:sz w:val="20"/>
              </w:rPr>
              <w:t>STATIONARY</w:t>
            </w:r>
          </w:p>
        </w:tc>
        <w:tc>
          <w:tcPr>
            <w:tcW w:w="2340" w:type="dxa"/>
            <w:gridSpan w:val="3"/>
          </w:tcPr>
          <w:p w:rsidR="00000000" w:rsidRDefault="00C40079">
            <w:pPr>
              <w:pStyle w:val="Level2"/>
              <w:tabs>
                <w:tab w:val="left" w:pos="720"/>
                <w:tab w:val="left" w:pos="1080"/>
                <w:tab w:val="left" w:pos="1440"/>
                <w:tab w:val="left" w:pos="1800"/>
                <w:tab w:val="left" w:pos="2160"/>
              </w:tabs>
              <w:jc w:val="center"/>
              <w:rPr>
                <w:b/>
                <w:sz w:val="20"/>
              </w:rPr>
            </w:pPr>
            <w:r>
              <w:rPr>
                <w:b/>
                <w:snapToGrid w:val="0"/>
                <w:color w:val="000000"/>
                <w:sz w:val="20"/>
              </w:rPr>
              <w:t>ONROAD</w:t>
            </w:r>
          </w:p>
        </w:tc>
      </w:tr>
      <w:tr w:rsidR="00000000">
        <w:tblPrEx>
          <w:tblCellMar>
            <w:top w:w="0" w:type="dxa"/>
            <w:bottom w:w="0" w:type="dxa"/>
          </w:tblCellMar>
        </w:tblPrEx>
        <w:tc>
          <w:tcPr>
            <w:tcW w:w="1404" w:type="dxa"/>
          </w:tcPr>
          <w:p w:rsidR="00000000" w:rsidRDefault="00C40079">
            <w:pPr>
              <w:pStyle w:val="Level2"/>
              <w:tabs>
                <w:tab w:val="left" w:pos="720"/>
                <w:tab w:val="left" w:pos="1080"/>
                <w:tab w:val="left" w:pos="1440"/>
                <w:tab w:val="left" w:pos="1800"/>
                <w:tab w:val="left" w:pos="2160"/>
              </w:tabs>
              <w:jc w:val="center"/>
              <w:rPr>
                <w:b/>
                <w:sz w:val="20"/>
              </w:rPr>
            </w:pPr>
            <w:r>
              <w:rPr>
                <w:b/>
                <w:snapToGrid w:val="0"/>
                <w:color w:val="000000"/>
                <w:sz w:val="20"/>
              </w:rPr>
              <w:t>COUNTY</w:t>
            </w:r>
          </w:p>
        </w:tc>
        <w:tc>
          <w:tcPr>
            <w:tcW w:w="720" w:type="dxa"/>
          </w:tcPr>
          <w:p w:rsidR="00000000" w:rsidRDefault="00C40079">
            <w:pPr>
              <w:pStyle w:val="Level2"/>
              <w:tabs>
                <w:tab w:val="left" w:pos="720"/>
                <w:tab w:val="left" w:pos="1080"/>
                <w:tab w:val="left" w:pos="1440"/>
                <w:tab w:val="left" w:pos="1800"/>
                <w:tab w:val="left" w:pos="2160"/>
              </w:tabs>
              <w:jc w:val="center"/>
              <w:rPr>
                <w:b/>
                <w:sz w:val="20"/>
              </w:rPr>
            </w:pPr>
            <w:r>
              <w:rPr>
                <w:b/>
                <w:snapToGrid w:val="0"/>
                <w:color w:val="000000"/>
                <w:sz w:val="20"/>
              </w:rPr>
              <w:t>2002</w:t>
            </w:r>
          </w:p>
        </w:tc>
        <w:tc>
          <w:tcPr>
            <w:tcW w:w="720" w:type="dxa"/>
          </w:tcPr>
          <w:p w:rsidR="00000000" w:rsidRDefault="00C40079">
            <w:pPr>
              <w:pStyle w:val="Level2"/>
              <w:tabs>
                <w:tab w:val="left" w:pos="720"/>
                <w:tab w:val="left" w:pos="1080"/>
                <w:tab w:val="left" w:pos="1440"/>
                <w:tab w:val="left" w:pos="1800"/>
                <w:tab w:val="left" w:pos="2160"/>
              </w:tabs>
              <w:jc w:val="center"/>
              <w:rPr>
                <w:b/>
                <w:sz w:val="20"/>
              </w:rPr>
            </w:pPr>
            <w:r>
              <w:rPr>
                <w:b/>
                <w:snapToGrid w:val="0"/>
                <w:color w:val="000000"/>
                <w:sz w:val="20"/>
              </w:rPr>
              <w:t>2009</w:t>
            </w:r>
          </w:p>
        </w:tc>
        <w:tc>
          <w:tcPr>
            <w:tcW w:w="900" w:type="dxa"/>
          </w:tcPr>
          <w:p w:rsidR="00000000" w:rsidRDefault="00C40079">
            <w:pPr>
              <w:pStyle w:val="Level2"/>
              <w:tabs>
                <w:tab w:val="left" w:pos="720"/>
                <w:tab w:val="left" w:pos="1080"/>
                <w:tab w:val="left" w:pos="1440"/>
                <w:tab w:val="left" w:pos="1800"/>
                <w:tab w:val="left" w:pos="2160"/>
              </w:tabs>
              <w:jc w:val="center"/>
              <w:rPr>
                <w:b/>
                <w:sz w:val="20"/>
              </w:rPr>
            </w:pPr>
            <w:r>
              <w:rPr>
                <w:b/>
                <w:snapToGrid w:val="0"/>
                <w:color w:val="000000"/>
                <w:sz w:val="20"/>
              </w:rPr>
              <w:t>(2009-2002)</w:t>
            </w:r>
          </w:p>
        </w:tc>
        <w:tc>
          <w:tcPr>
            <w:tcW w:w="720" w:type="dxa"/>
          </w:tcPr>
          <w:p w:rsidR="00000000" w:rsidRDefault="00C40079">
            <w:pPr>
              <w:pStyle w:val="Level2"/>
              <w:tabs>
                <w:tab w:val="left" w:pos="720"/>
                <w:tab w:val="left" w:pos="1080"/>
                <w:tab w:val="left" w:pos="1440"/>
                <w:tab w:val="left" w:pos="1800"/>
                <w:tab w:val="left" w:pos="2160"/>
              </w:tabs>
              <w:jc w:val="center"/>
              <w:rPr>
                <w:b/>
                <w:sz w:val="20"/>
              </w:rPr>
            </w:pPr>
            <w:r>
              <w:rPr>
                <w:b/>
                <w:snapToGrid w:val="0"/>
                <w:color w:val="000000"/>
                <w:sz w:val="20"/>
              </w:rPr>
              <w:t>2002</w:t>
            </w:r>
          </w:p>
        </w:tc>
        <w:tc>
          <w:tcPr>
            <w:tcW w:w="720" w:type="dxa"/>
          </w:tcPr>
          <w:p w:rsidR="00000000" w:rsidRDefault="00C40079">
            <w:pPr>
              <w:pStyle w:val="Level2"/>
              <w:tabs>
                <w:tab w:val="left" w:pos="720"/>
                <w:tab w:val="left" w:pos="1080"/>
                <w:tab w:val="left" w:pos="1440"/>
                <w:tab w:val="left" w:pos="1800"/>
                <w:tab w:val="left" w:pos="2160"/>
              </w:tabs>
              <w:jc w:val="center"/>
              <w:rPr>
                <w:b/>
                <w:sz w:val="20"/>
              </w:rPr>
            </w:pPr>
            <w:r>
              <w:rPr>
                <w:b/>
                <w:snapToGrid w:val="0"/>
                <w:color w:val="000000"/>
                <w:sz w:val="20"/>
              </w:rPr>
              <w:t>2009</w:t>
            </w:r>
          </w:p>
        </w:tc>
        <w:tc>
          <w:tcPr>
            <w:tcW w:w="900" w:type="dxa"/>
          </w:tcPr>
          <w:p w:rsidR="00000000" w:rsidRDefault="00C40079">
            <w:pPr>
              <w:pStyle w:val="Level2"/>
              <w:tabs>
                <w:tab w:val="left" w:pos="720"/>
                <w:tab w:val="left" w:pos="1080"/>
                <w:tab w:val="left" w:pos="1440"/>
                <w:tab w:val="left" w:pos="1800"/>
                <w:tab w:val="left" w:pos="2160"/>
              </w:tabs>
              <w:jc w:val="center"/>
              <w:rPr>
                <w:b/>
                <w:sz w:val="20"/>
              </w:rPr>
            </w:pPr>
            <w:r>
              <w:rPr>
                <w:b/>
                <w:snapToGrid w:val="0"/>
                <w:color w:val="000000"/>
                <w:sz w:val="20"/>
              </w:rPr>
              <w:t>(2009-2002)</w:t>
            </w:r>
          </w:p>
        </w:tc>
        <w:tc>
          <w:tcPr>
            <w:tcW w:w="720" w:type="dxa"/>
          </w:tcPr>
          <w:p w:rsidR="00000000" w:rsidRDefault="00C40079">
            <w:pPr>
              <w:tabs>
                <w:tab w:val="left" w:pos="720"/>
                <w:tab w:val="left" w:pos="1080"/>
                <w:tab w:val="left" w:pos="1440"/>
                <w:tab w:val="left" w:pos="1800"/>
                <w:tab w:val="left" w:pos="2160"/>
              </w:tabs>
              <w:jc w:val="center"/>
              <w:rPr>
                <w:b/>
                <w:snapToGrid w:val="0"/>
                <w:color w:val="000000"/>
              </w:rPr>
            </w:pPr>
            <w:r>
              <w:rPr>
                <w:b/>
                <w:snapToGrid w:val="0"/>
                <w:color w:val="000000"/>
              </w:rPr>
              <w:t>2002</w:t>
            </w:r>
          </w:p>
        </w:tc>
        <w:tc>
          <w:tcPr>
            <w:tcW w:w="720" w:type="dxa"/>
          </w:tcPr>
          <w:p w:rsidR="00000000" w:rsidRDefault="00C40079">
            <w:pPr>
              <w:tabs>
                <w:tab w:val="left" w:pos="720"/>
                <w:tab w:val="left" w:pos="1080"/>
                <w:tab w:val="left" w:pos="1440"/>
                <w:tab w:val="left" w:pos="1800"/>
                <w:tab w:val="left" w:pos="2160"/>
              </w:tabs>
              <w:jc w:val="center"/>
              <w:rPr>
                <w:b/>
                <w:snapToGrid w:val="0"/>
                <w:color w:val="000000"/>
              </w:rPr>
            </w:pPr>
            <w:r>
              <w:rPr>
                <w:b/>
                <w:snapToGrid w:val="0"/>
                <w:color w:val="000000"/>
              </w:rPr>
              <w:t>2009</w:t>
            </w:r>
          </w:p>
        </w:tc>
        <w:tc>
          <w:tcPr>
            <w:tcW w:w="720" w:type="dxa"/>
          </w:tcPr>
          <w:p w:rsidR="00000000" w:rsidRDefault="00C40079">
            <w:pPr>
              <w:pStyle w:val="Level2"/>
              <w:tabs>
                <w:tab w:val="left" w:pos="720"/>
                <w:tab w:val="left" w:pos="1080"/>
                <w:tab w:val="left" w:pos="1440"/>
                <w:tab w:val="left" w:pos="1800"/>
                <w:tab w:val="left" w:pos="2160"/>
              </w:tabs>
              <w:jc w:val="center"/>
              <w:rPr>
                <w:b/>
                <w:sz w:val="20"/>
              </w:rPr>
            </w:pPr>
            <w:r>
              <w:rPr>
                <w:b/>
                <w:snapToGrid w:val="0"/>
                <w:color w:val="000000"/>
                <w:sz w:val="20"/>
              </w:rPr>
              <w:t>(2009-2002)</w:t>
            </w:r>
          </w:p>
        </w:tc>
        <w:tc>
          <w:tcPr>
            <w:tcW w:w="720" w:type="dxa"/>
          </w:tcPr>
          <w:p w:rsidR="00000000" w:rsidRDefault="00C40079">
            <w:pPr>
              <w:tabs>
                <w:tab w:val="left" w:pos="720"/>
                <w:tab w:val="left" w:pos="1080"/>
                <w:tab w:val="left" w:pos="1440"/>
                <w:tab w:val="left" w:pos="1800"/>
                <w:tab w:val="left" w:pos="2160"/>
              </w:tabs>
              <w:jc w:val="center"/>
              <w:rPr>
                <w:b/>
                <w:snapToGrid w:val="0"/>
                <w:color w:val="000000"/>
              </w:rPr>
            </w:pPr>
            <w:r>
              <w:rPr>
                <w:b/>
                <w:snapToGrid w:val="0"/>
                <w:color w:val="000000"/>
              </w:rPr>
              <w:t>2002</w:t>
            </w:r>
          </w:p>
        </w:tc>
        <w:tc>
          <w:tcPr>
            <w:tcW w:w="720" w:type="dxa"/>
          </w:tcPr>
          <w:p w:rsidR="00000000" w:rsidRDefault="00C40079">
            <w:pPr>
              <w:tabs>
                <w:tab w:val="left" w:pos="720"/>
                <w:tab w:val="left" w:pos="1080"/>
                <w:tab w:val="left" w:pos="1440"/>
                <w:tab w:val="left" w:pos="1800"/>
                <w:tab w:val="left" w:pos="2160"/>
              </w:tabs>
              <w:jc w:val="center"/>
              <w:rPr>
                <w:b/>
                <w:snapToGrid w:val="0"/>
                <w:color w:val="000000"/>
              </w:rPr>
            </w:pPr>
            <w:r>
              <w:rPr>
                <w:b/>
                <w:snapToGrid w:val="0"/>
                <w:color w:val="000000"/>
              </w:rPr>
              <w:t>2009</w:t>
            </w:r>
          </w:p>
        </w:tc>
        <w:tc>
          <w:tcPr>
            <w:tcW w:w="900" w:type="dxa"/>
          </w:tcPr>
          <w:p w:rsidR="00000000" w:rsidRDefault="00C40079">
            <w:pPr>
              <w:pStyle w:val="Level2"/>
              <w:tabs>
                <w:tab w:val="left" w:pos="720"/>
                <w:tab w:val="left" w:pos="1080"/>
                <w:tab w:val="left" w:pos="1440"/>
                <w:tab w:val="left" w:pos="1800"/>
                <w:tab w:val="left" w:pos="2160"/>
              </w:tabs>
              <w:jc w:val="center"/>
              <w:rPr>
                <w:b/>
                <w:sz w:val="20"/>
              </w:rPr>
            </w:pPr>
            <w:r>
              <w:rPr>
                <w:b/>
                <w:snapToGrid w:val="0"/>
                <w:color w:val="000000"/>
                <w:sz w:val="20"/>
              </w:rPr>
              <w:t>(2009-2002)</w:t>
            </w:r>
          </w:p>
        </w:tc>
      </w:tr>
      <w:tr w:rsidR="00000000">
        <w:tblPrEx>
          <w:tblCellMar>
            <w:top w:w="0" w:type="dxa"/>
            <w:bottom w:w="0" w:type="dxa"/>
          </w:tblCellMar>
        </w:tblPrEx>
        <w:tc>
          <w:tcPr>
            <w:tcW w:w="1404" w:type="dxa"/>
          </w:tcPr>
          <w:p w:rsidR="00000000" w:rsidRDefault="00C40079">
            <w:pPr>
              <w:tabs>
                <w:tab w:val="left" w:pos="720"/>
                <w:tab w:val="left" w:pos="1080"/>
                <w:tab w:val="left" w:pos="1440"/>
                <w:tab w:val="left" w:pos="1800"/>
                <w:tab w:val="left" w:pos="2160"/>
              </w:tabs>
              <w:rPr>
                <w:snapToGrid w:val="0"/>
                <w:color w:val="000000"/>
              </w:rPr>
            </w:pPr>
            <w:r>
              <w:rPr>
                <w:snapToGrid w:val="0"/>
                <w:color w:val="000000"/>
              </w:rPr>
              <w:t>BERGEN</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537</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569</w:t>
            </w:r>
          </w:p>
        </w:tc>
        <w:tc>
          <w:tcPr>
            <w:tcW w:w="90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+32</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478</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419</w:t>
            </w:r>
          </w:p>
        </w:tc>
        <w:tc>
          <w:tcPr>
            <w:tcW w:w="90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-59</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149</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183</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+34</w:t>
            </w:r>
          </w:p>
        </w:tc>
        <w:tc>
          <w:tcPr>
            <w:tcW w:w="720" w:type="dxa"/>
          </w:tcPr>
          <w:p w:rsidR="00000000" w:rsidRDefault="00C40079">
            <w:pPr>
              <w:jc w:val="right"/>
              <w:rPr>
                <w:snapToGrid w:val="0"/>
                <w:color w:val="000000"/>
              </w:rPr>
            </w:pPr>
            <w:r>
              <w:rPr>
                <w:snapToGrid w:val="0"/>
                <w:color w:val="000000"/>
              </w:rPr>
              <w:t>376</w:t>
            </w:r>
          </w:p>
        </w:tc>
        <w:tc>
          <w:tcPr>
            <w:tcW w:w="720" w:type="dxa"/>
          </w:tcPr>
          <w:p w:rsidR="00000000" w:rsidRDefault="00C40079">
            <w:pPr>
              <w:jc w:val="right"/>
              <w:rPr>
                <w:snapToGrid w:val="0"/>
                <w:color w:val="000000"/>
              </w:rPr>
            </w:pPr>
            <w:r>
              <w:rPr>
                <w:snapToGrid w:val="0"/>
                <w:color w:val="000000"/>
              </w:rPr>
              <w:t>214</w:t>
            </w:r>
          </w:p>
        </w:tc>
        <w:tc>
          <w:tcPr>
            <w:tcW w:w="900" w:type="dxa"/>
          </w:tcPr>
          <w:p w:rsidR="00000000" w:rsidRDefault="00C40079">
            <w:pPr>
              <w:jc w:val="right"/>
              <w:rPr>
                <w:snapToGrid w:val="0"/>
                <w:color w:val="000000"/>
              </w:rPr>
            </w:pPr>
            <w:r>
              <w:rPr>
                <w:snapToGrid w:val="0"/>
                <w:color w:val="000000"/>
              </w:rPr>
              <w:t>-162</w:t>
            </w:r>
          </w:p>
        </w:tc>
      </w:tr>
      <w:tr w:rsidR="00000000">
        <w:tblPrEx>
          <w:tblCellMar>
            <w:top w:w="0" w:type="dxa"/>
            <w:bottom w:w="0" w:type="dxa"/>
          </w:tblCellMar>
        </w:tblPrEx>
        <w:tc>
          <w:tcPr>
            <w:tcW w:w="1404" w:type="dxa"/>
          </w:tcPr>
          <w:p w:rsidR="00000000" w:rsidRDefault="00C40079">
            <w:pPr>
              <w:tabs>
                <w:tab w:val="left" w:pos="720"/>
                <w:tab w:val="left" w:pos="1080"/>
                <w:tab w:val="left" w:pos="1440"/>
                <w:tab w:val="left" w:pos="1800"/>
                <w:tab w:val="left" w:pos="2160"/>
              </w:tabs>
              <w:rPr>
                <w:snapToGrid w:val="0"/>
                <w:color w:val="000000"/>
              </w:rPr>
            </w:pPr>
            <w:r>
              <w:rPr>
                <w:snapToGrid w:val="0"/>
                <w:color w:val="000000"/>
              </w:rPr>
              <w:t>ESSEX</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411</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436</w:t>
            </w:r>
          </w:p>
        </w:tc>
        <w:tc>
          <w:tcPr>
            <w:tcW w:w="90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+25</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393</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341</w:t>
            </w:r>
          </w:p>
        </w:tc>
        <w:tc>
          <w:tcPr>
            <w:tcW w:w="90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-51</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185</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222</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+37</w:t>
            </w:r>
          </w:p>
        </w:tc>
        <w:tc>
          <w:tcPr>
            <w:tcW w:w="720" w:type="dxa"/>
          </w:tcPr>
          <w:p w:rsidR="00000000" w:rsidRDefault="00C40079">
            <w:pPr>
              <w:jc w:val="right"/>
              <w:rPr>
                <w:snapToGrid w:val="0"/>
                <w:color w:val="000000"/>
              </w:rPr>
            </w:pPr>
            <w:r>
              <w:rPr>
                <w:snapToGrid w:val="0"/>
                <w:color w:val="000000"/>
              </w:rPr>
              <w:t>291</w:t>
            </w:r>
          </w:p>
        </w:tc>
        <w:tc>
          <w:tcPr>
            <w:tcW w:w="720" w:type="dxa"/>
          </w:tcPr>
          <w:p w:rsidR="00000000" w:rsidRDefault="00C40079">
            <w:pPr>
              <w:jc w:val="right"/>
              <w:rPr>
                <w:snapToGrid w:val="0"/>
                <w:color w:val="000000"/>
              </w:rPr>
            </w:pPr>
            <w:r>
              <w:rPr>
                <w:snapToGrid w:val="0"/>
                <w:color w:val="000000"/>
              </w:rPr>
              <w:t>163</w:t>
            </w:r>
          </w:p>
        </w:tc>
        <w:tc>
          <w:tcPr>
            <w:tcW w:w="900" w:type="dxa"/>
          </w:tcPr>
          <w:p w:rsidR="00000000" w:rsidRDefault="00C40079">
            <w:pPr>
              <w:jc w:val="right"/>
              <w:rPr>
                <w:snapToGrid w:val="0"/>
                <w:color w:val="000000"/>
              </w:rPr>
            </w:pPr>
            <w:r>
              <w:rPr>
                <w:snapToGrid w:val="0"/>
                <w:color w:val="000000"/>
              </w:rPr>
              <w:t>-128</w:t>
            </w:r>
          </w:p>
        </w:tc>
      </w:tr>
      <w:tr w:rsidR="00000000">
        <w:tblPrEx>
          <w:tblCellMar>
            <w:top w:w="0" w:type="dxa"/>
            <w:bottom w:w="0" w:type="dxa"/>
          </w:tblCellMar>
        </w:tblPrEx>
        <w:tc>
          <w:tcPr>
            <w:tcW w:w="1404" w:type="dxa"/>
          </w:tcPr>
          <w:p w:rsidR="00000000" w:rsidRDefault="00C40079">
            <w:pPr>
              <w:tabs>
                <w:tab w:val="left" w:pos="720"/>
                <w:tab w:val="left" w:pos="1080"/>
                <w:tab w:val="left" w:pos="1440"/>
                <w:tab w:val="left" w:pos="1800"/>
                <w:tab w:val="left" w:pos="2160"/>
              </w:tabs>
              <w:rPr>
                <w:snapToGrid w:val="0"/>
                <w:color w:val="000000"/>
              </w:rPr>
            </w:pPr>
            <w:r>
              <w:rPr>
                <w:snapToGrid w:val="0"/>
                <w:color w:val="000000"/>
              </w:rPr>
              <w:t>HUDSON</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269</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286</w:t>
            </w:r>
          </w:p>
        </w:tc>
        <w:tc>
          <w:tcPr>
            <w:tcW w:w="90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+16</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345</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299</w:t>
            </w:r>
          </w:p>
        </w:tc>
        <w:tc>
          <w:tcPr>
            <w:tcW w:w="90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-45</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1,077</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1,085</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+7</w:t>
            </w:r>
          </w:p>
        </w:tc>
        <w:tc>
          <w:tcPr>
            <w:tcW w:w="720" w:type="dxa"/>
          </w:tcPr>
          <w:p w:rsidR="00000000" w:rsidRDefault="00C40079">
            <w:pPr>
              <w:jc w:val="right"/>
              <w:rPr>
                <w:snapToGrid w:val="0"/>
                <w:color w:val="000000"/>
              </w:rPr>
            </w:pPr>
            <w:r>
              <w:rPr>
                <w:snapToGrid w:val="0"/>
                <w:color w:val="000000"/>
              </w:rPr>
              <w:t>134</w:t>
            </w:r>
          </w:p>
        </w:tc>
        <w:tc>
          <w:tcPr>
            <w:tcW w:w="720" w:type="dxa"/>
          </w:tcPr>
          <w:p w:rsidR="00000000" w:rsidRDefault="00C40079">
            <w:pPr>
              <w:jc w:val="right"/>
              <w:rPr>
                <w:snapToGrid w:val="0"/>
                <w:color w:val="000000"/>
              </w:rPr>
            </w:pPr>
            <w:r>
              <w:rPr>
                <w:snapToGrid w:val="0"/>
                <w:color w:val="000000"/>
              </w:rPr>
              <w:t>76</w:t>
            </w:r>
          </w:p>
        </w:tc>
        <w:tc>
          <w:tcPr>
            <w:tcW w:w="900" w:type="dxa"/>
          </w:tcPr>
          <w:p w:rsidR="00000000" w:rsidRDefault="00C40079">
            <w:pPr>
              <w:jc w:val="right"/>
              <w:rPr>
                <w:snapToGrid w:val="0"/>
                <w:color w:val="000000"/>
              </w:rPr>
            </w:pPr>
            <w:r>
              <w:rPr>
                <w:snapToGrid w:val="0"/>
                <w:color w:val="000000"/>
              </w:rPr>
              <w:t>-58</w:t>
            </w:r>
          </w:p>
        </w:tc>
      </w:tr>
      <w:tr w:rsidR="00000000">
        <w:tblPrEx>
          <w:tblCellMar>
            <w:top w:w="0" w:type="dxa"/>
            <w:bottom w:w="0" w:type="dxa"/>
          </w:tblCellMar>
        </w:tblPrEx>
        <w:tc>
          <w:tcPr>
            <w:tcW w:w="1404" w:type="dxa"/>
          </w:tcPr>
          <w:p w:rsidR="00000000" w:rsidRDefault="00C40079">
            <w:pPr>
              <w:tabs>
                <w:tab w:val="left" w:pos="720"/>
                <w:tab w:val="left" w:pos="1080"/>
                <w:tab w:val="left" w:pos="1440"/>
                <w:tab w:val="left" w:pos="1800"/>
                <w:tab w:val="left" w:pos="2160"/>
              </w:tabs>
              <w:rPr>
                <w:snapToGrid w:val="0"/>
                <w:color w:val="000000"/>
              </w:rPr>
            </w:pPr>
            <w:r>
              <w:rPr>
                <w:snapToGrid w:val="0"/>
                <w:color w:val="000000"/>
              </w:rPr>
              <w:t>MERCER</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530</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548</w:t>
            </w:r>
          </w:p>
        </w:tc>
        <w:tc>
          <w:tcPr>
            <w:tcW w:w="90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+18</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203</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177</w:t>
            </w:r>
          </w:p>
        </w:tc>
        <w:tc>
          <w:tcPr>
            <w:tcW w:w="90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-26</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188</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212</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+24</w:t>
            </w:r>
          </w:p>
        </w:tc>
        <w:tc>
          <w:tcPr>
            <w:tcW w:w="720" w:type="dxa"/>
          </w:tcPr>
          <w:p w:rsidR="00000000" w:rsidRDefault="00C40079">
            <w:pPr>
              <w:jc w:val="right"/>
              <w:rPr>
                <w:snapToGrid w:val="0"/>
                <w:color w:val="000000"/>
              </w:rPr>
            </w:pPr>
            <w:r>
              <w:rPr>
                <w:snapToGrid w:val="0"/>
                <w:color w:val="000000"/>
              </w:rPr>
              <w:t>141</w:t>
            </w:r>
          </w:p>
        </w:tc>
        <w:tc>
          <w:tcPr>
            <w:tcW w:w="720" w:type="dxa"/>
          </w:tcPr>
          <w:p w:rsidR="00000000" w:rsidRDefault="00C40079">
            <w:pPr>
              <w:jc w:val="right"/>
              <w:rPr>
                <w:snapToGrid w:val="0"/>
                <w:color w:val="000000"/>
              </w:rPr>
            </w:pPr>
            <w:r>
              <w:rPr>
                <w:snapToGrid w:val="0"/>
                <w:color w:val="000000"/>
              </w:rPr>
              <w:t>89</w:t>
            </w:r>
          </w:p>
        </w:tc>
        <w:tc>
          <w:tcPr>
            <w:tcW w:w="900" w:type="dxa"/>
          </w:tcPr>
          <w:p w:rsidR="00000000" w:rsidRDefault="00C40079">
            <w:pPr>
              <w:jc w:val="right"/>
              <w:rPr>
                <w:snapToGrid w:val="0"/>
                <w:color w:val="000000"/>
              </w:rPr>
            </w:pPr>
            <w:r>
              <w:rPr>
                <w:snapToGrid w:val="0"/>
                <w:color w:val="000000"/>
              </w:rPr>
              <w:t>-52</w:t>
            </w:r>
          </w:p>
        </w:tc>
      </w:tr>
      <w:tr w:rsidR="00000000">
        <w:tblPrEx>
          <w:tblCellMar>
            <w:top w:w="0" w:type="dxa"/>
            <w:bottom w:w="0" w:type="dxa"/>
          </w:tblCellMar>
        </w:tblPrEx>
        <w:tc>
          <w:tcPr>
            <w:tcW w:w="1404" w:type="dxa"/>
          </w:tcPr>
          <w:p w:rsidR="00000000" w:rsidRDefault="00C40079">
            <w:pPr>
              <w:tabs>
                <w:tab w:val="left" w:pos="720"/>
                <w:tab w:val="left" w:pos="1080"/>
                <w:tab w:val="left" w:pos="1440"/>
                <w:tab w:val="left" w:pos="1800"/>
                <w:tab w:val="left" w:pos="2160"/>
              </w:tabs>
              <w:rPr>
                <w:snapToGrid w:val="0"/>
                <w:color w:val="000000"/>
              </w:rPr>
            </w:pPr>
            <w:r>
              <w:rPr>
                <w:snapToGrid w:val="0"/>
                <w:color w:val="000000"/>
              </w:rPr>
              <w:t>MIDDLESEX</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46</w:t>
            </w:r>
            <w:r>
              <w:rPr>
                <w:snapToGrid w:val="0"/>
                <w:color w:val="000000"/>
              </w:rPr>
              <w:t>7</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497</w:t>
            </w:r>
          </w:p>
        </w:tc>
        <w:tc>
          <w:tcPr>
            <w:tcW w:w="90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+30</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346</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299</w:t>
            </w:r>
          </w:p>
        </w:tc>
        <w:tc>
          <w:tcPr>
            <w:tcW w:w="90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-47</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483</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553</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+70</w:t>
            </w:r>
          </w:p>
        </w:tc>
        <w:tc>
          <w:tcPr>
            <w:tcW w:w="720" w:type="dxa"/>
          </w:tcPr>
          <w:p w:rsidR="00000000" w:rsidRDefault="00C40079">
            <w:pPr>
              <w:jc w:val="right"/>
              <w:rPr>
                <w:snapToGrid w:val="0"/>
                <w:color w:val="000000"/>
              </w:rPr>
            </w:pPr>
            <w:r>
              <w:rPr>
                <w:snapToGrid w:val="0"/>
                <w:color w:val="000000"/>
              </w:rPr>
              <w:t>347</w:t>
            </w:r>
          </w:p>
        </w:tc>
        <w:tc>
          <w:tcPr>
            <w:tcW w:w="720" w:type="dxa"/>
          </w:tcPr>
          <w:p w:rsidR="00000000" w:rsidRDefault="00C40079">
            <w:pPr>
              <w:jc w:val="right"/>
              <w:rPr>
                <w:snapToGrid w:val="0"/>
                <w:color w:val="000000"/>
              </w:rPr>
            </w:pPr>
            <w:r>
              <w:rPr>
                <w:snapToGrid w:val="0"/>
                <w:color w:val="000000"/>
              </w:rPr>
              <w:t>207</w:t>
            </w:r>
          </w:p>
        </w:tc>
        <w:tc>
          <w:tcPr>
            <w:tcW w:w="900" w:type="dxa"/>
          </w:tcPr>
          <w:p w:rsidR="00000000" w:rsidRDefault="00C40079">
            <w:pPr>
              <w:jc w:val="right"/>
              <w:rPr>
                <w:snapToGrid w:val="0"/>
                <w:color w:val="000000"/>
              </w:rPr>
            </w:pPr>
            <w:r>
              <w:rPr>
                <w:snapToGrid w:val="0"/>
                <w:color w:val="000000"/>
              </w:rPr>
              <w:t>-140</w:t>
            </w:r>
          </w:p>
        </w:tc>
      </w:tr>
      <w:tr w:rsidR="00000000">
        <w:tblPrEx>
          <w:tblCellMar>
            <w:top w:w="0" w:type="dxa"/>
            <w:bottom w:w="0" w:type="dxa"/>
          </w:tblCellMar>
        </w:tblPrEx>
        <w:tc>
          <w:tcPr>
            <w:tcW w:w="1404" w:type="dxa"/>
          </w:tcPr>
          <w:p w:rsidR="00000000" w:rsidRDefault="00C40079">
            <w:pPr>
              <w:tabs>
                <w:tab w:val="left" w:pos="720"/>
                <w:tab w:val="left" w:pos="1080"/>
                <w:tab w:val="left" w:pos="1440"/>
                <w:tab w:val="left" w:pos="1800"/>
                <w:tab w:val="left" w:pos="2160"/>
              </w:tabs>
              <w:rPr>
                <w:snapToGrid w:val="0"/>
                <w:color w:val="000000"/>
              </w:rPr>
            </w:pPr>
            <w:r>
              <w:rPr>
                <w:snapToGrid w:val="0"/>
                <w:color w:val="000000"/>
              </w:rPr>
              <w:t>MONMOUTH</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981</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1,002</w:t>
            </w:r>
          </w:p>
        </w:tc>
        <w:tc>
          <w:tcPr>
            <w:tcW w:w="90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+21</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501</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426</w:t>
            </w:r>
          </w:p>
        </w:tc>
        <w:tc>
          <w:tcPr>
            <w:tcW w:w="90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-75</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55</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66</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+10</w:t>
            </w:r>
          </w:p>
        </w:tc>
        <w:tc>
          <w:tcPr>
            <w:tcW w:w="720" w:type="dxa"/>
          </w:tcPr>
          <w:p w:rsidR="00000000" w:rsidRDefault="00C40079">
            <w:pPr>
              <w:jc w:val="right"/>
              <w:rPr>
                <w:snapToGrid w:val="0"/>
                <w:color w:val="000000"/>
              </w:rPr>
            </w:pPr>
            <w:r>
              <w:rPr>
                <w:snapToGrid w:val="0"/>
                <w:color w:val="000000"/>
              </w:rPr>
              <w:t>244</w:t>
            </w:r>
          </w:p>
        </w:tc>
        <w:tc>
          <w:tcPr>
            <w:tcW w:w="720" w:type="dxa"/>
          </w:tcPr>
          <w:p w:rsidR="00000000" w:rsidRDefault="00C40079">
            <w:pPr>
              <w:jc w:val="right"/>
              <w:rPr>
                <w:snapToGrid w:val="0"/>
                <w:color w:val="000000"/>
              </w:rPr>
            </w:pPr>
            <w:r>
              <w:rPr>
                <w:snapToGrid w:val="0"/>
                <w:color w:val="000000"/>
              </w:rPr>
              <w:t>145</w:t>
            </w:r>
          </w:p>
        </w:tc>
        <w:tc>
          <w:tcPr>
            <w:tcW w:w="900" w:type="dxa"/>
          </w:tcPr>
          <w:p w:rsidR="00000000" w:rsidRDefault="00C40079">
            <w:pPr>
              <w:jc w:val="right"/>
              <w:rPr>
                <w:snapToGrid w:val="0"/>
                <w:color w:val="000000"/>
              </w:rPr>
            </w:pPr>
            <w:r>
              <w:rPr>
                <w:snapToGrid w:val="0"/>
                <w:color w:val="000000"/>
              </w:rPr>
              <w:t>-100</w:t>
            </w:r>
          </w:p>
        </w:tc>
      </w:tr>
      <w:tr w:rsidR="00000000">
        <w:tblPrEx>
          <w:tblCellMar>
            <w:top w:w="0" w:type="dxa"/>
            <w:bottom w:w="0" w:type="dxa"/>
          </w:tblCellMar>
        </w:tblPrEx>
        <w:tc>
          <w:tcPr>
            <w:tcW w:w="1404" w:type="dxa"/>
          </w:tcPr>
          <w:p w:rsidR="00000000" w:rsidRDefault="00C40079">
            <w:pPr>
              <w:tabs>
                <w:tab w:val="left" w:pos="720"/>
                <w:tab w:val="left" w:pos="1080"/>
                <w:tab w:val="left" w:pos="1440"/>
                <w:tab w:val="left" w:pos="1800"/>
                <w:tab w:val="left" w:pos="2160"/>
              </w:tabs>
              <w:rPr>
                <w:snapToGrid w:val="0"/>
                <w:color w:val="000000"/>
              </w:rPr>
            </w:pPr>
            <w:r>
              <w:rPr>
                <w:snapToGrid w:val="0"/>
                <w:color w:val="000000"/>
              </w:rPr>
              <w:t>MORRIS</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1,284</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1,297</w:t>
            </w:r>
          </w:p>
        </w:tc>
        <w:tc>
          <w:tcPr>
            <w:tcW w:w="90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+13</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280</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251</w:t>
            </w:r>
          </w:p>
        </w:tc>
        <w:tc>
          <w:tcPr>
            <w:tcW w:w="90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-29</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39</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45</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+6</w:t>
            </w:r>
          </w:p>
        </w:tc>
        <w:tc>
          <w:tcPr>
            <w:tcW w:w="720" w:type="dxa"/>
          </w:tcPr>
          <w:p w:rsidR="00000000" w:rsidRDefault="00C40079">
            <w:pPr>
              <w:jc w:val="right"/>
              <w:rPr>
                <w:snapToGrid w:val="0"/>
                <w:color w:val="000000"/>
              </w:rPr>
            </w:pPr>
            <w:r>
              <w:rPr>
                <w:snapToGrid w:val="0"/>
                <w:color w:val="000000"/>
              </w:rPr>
              <w:t>209</w:t>
            </w:r>
          </w:p>
        </w:tc>
        <w:tc>
          <w:tcPr>
            <w:tcW w:w="720" w:type="dxa"/>
          </w:tcPr>
          <w:p w:rsidR="00000000" w:rsidRDefault="00C40079">
            <w:pPr>
              <w:jc w:val="right"/>
              <w:rPr>
                <w:snapToGrid w:val="0"/>
                <w:color w:val="000000"/>
              </w:rPr>
            </w:pPr>
            <w:r>
              <w:rPr>
                <w:snapToGrid w:val="0"/>
                <w:color w:val="000000"/>
              </w:rPr>
              <w:t>126</w:t>
            </w:r>
          </w:p>
        </w:tc>
        <w:tc>
          <w:tcPr>
            <w:tcW w:w="900" w:type="dxa"/>
          </w:tcPr>
          <w:p w:rsidR="00000000" w:rsidRDefault="00C40079">
            <w:pPr>
              <w:jc w:val="right"/>
              <w:rPr>
                <w:snapToGrid w:val="0"/>
                <w:color w:val="000000"/>
              </w:rPr>
            </w:pPr>
            <w:r>
              <w:rPr>
                <w:snapToGrid w:val="0"/>
                <w:color w:val="000000"/>
              </w:rPr>
              <w:t>-83</w:t>
            </w:r>
          </w:p>
        </w:tc>
      </w:tr>
      <w:tr w:rsidR="00000000">
        <w:tblPrEx>
          <w:tblCellMar>
            <w:top w:w="0" w:type="dxa"/>
            <w:bottom w:w="0" w:type="dxa"/>
          </w:tblCellMar>
        </w:tblPrEx>
        <w:tc>
          <w:tcPr>
            <w:tcW w:w="1404" w:type="dxa"/>
          </w:tcPr>
          <w:p w:rsidR="00000000" w:rsidRDefault="00C40079">
            <w:pPr>
              <w:tabs>
                <w:tab w:val="left" w:pos="720"/>
                <w:tab w:val="left" w:pos="1080"/>
                <w:tab w:val="left" w:pos="1440"/>
                <w:tab w:val="left" w:pos="1800"/>
                <w:tab w:val="left" w:pos="2160"/>
              </w:tabs>
              <w:rPr>
                <w:snapToGrid w:val="0"/>
                <w:color w:val="000000"/>
              </w:rPr>
            </w:pPr>
            <w:r>
              <w:rPr>
                <w:snapToGrid w:val="0"/>
                <w:color w:val="000000"/>
              </w:rPr>
              <w:t>PASSAIC</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543</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554</w:t>
            </w:r>
          </w:p>
        </w:tc>
        <w:tc>
          <w:tcPr>
            <w:tcW w:w="90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+11</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178</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151</w:t>
            </w:r>
          </w:p>
        </w:tc>
        <w:tc>
          <w:tcPr>
            <w:tcW w:w="90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-27</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19</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22</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+3</w:t>
            </w:r>
          </w:p>
        </w:tc>
        <w:tc>
          <w:tcPr>
            <w:tcW w:w="720" w:type="dxa"/>
          </w:tcPr>
          <w:p w:rsidR="00000000" w:rsidRDefault="00C40079">
            <w:pPr>
              <w:jc w:val="right"/>
              <w:rPr>
                <w:snapToGrid w:val="0"/>
                <w:color w:val="000000"/>
              </w:rPr>
            </w:pPr>
            <w:r>
              <w:rPr>
                <w:snapToGrid w:val="0"/>
                <w:color w:val="000000"/>
              </w:rPr>
              <w:t>141</w:t>
            </w:r>
          </w:p>
        </w:tc>
        <w:tc>
          <w:tcPr>
            <w:tcW w:w="720" w:type="dxa"/>
          </w:tcPr>
          <w:p w:rsidR="00000000" w:rsidRDefault="00C40079">
            <w:pPr>
              <w:jc w:val="right"/>
              <w:rPr>
                <w:snapToGrid w:val="0"/>
                <w:color w:val="000000"/>
              </w:rPr>
            </w:pPr>
            <w:r>
              <w:rPr>
                <w:snapToGrid w:val="0"/>
                <w:color w:val="000000"/>
              </w:rPr>
              <w:t>81</w:t>
            </w:r>
          </w:p>
        </w:tc>
        <w:tc>
          <w:tcPr>
            <w:tcW w:w="900" w:type="dxa"/>
          </w:tcPr>
          <w:p w:rsidR="00000000" w:rsidRDefault="00C40079">
            <w:pPr>
              <w:jc w:val="right"/>
              <w:rPr>
                <w:snapToGrid w:val="0"/>
                <w:color w:val="000000"/>
              </w:rPr>
            </w:pPr>
            <w:r>
              <w:rPr>
                <w:snapToGrid w:val="0"/>
                <w:color w:val="000000"/>
              </w:rPr>
              <w:t>-60</w:t>
            </w:r>
          </w:p>
        </w:tc>
      </w:tr>
      <w:tr w:rsidR="00000000">
        <w:tblPrEx>
          <w:tblCellMar>
            <w:top w:w="0" w:type="dxa"/>
            <w:bottom w:w="0" w:type="dxa"/>
          </w:tblCellMar>
        </w:tblPrEx>
        <w:tc>
          <w:tcPr>
            <w:tcW w:w="1404" w:type="dxa"/>
          </w:tcPr>
          <w:p w:rsidR="00000000" w:rsidRDefault="00C40079">
            <w:pPr>
              <w:tabs>
                <w:tab w:val="left" w:pos="720"/>
                <w:tab w:val="left" w:pos="1080"/>
                <w:tab w:val="left" w:pos="1440"/>
                <w:tab w:val="left" w:pos="1800"/>
                <w:tab w:val="left" w:pos="2160"/>
              </w:tabs>
              <w:rPr>
                <w:snapToGrid w:val="0"/>
                <w:color w:val="000000"/>
              </w:rPr>
            </w:pPr>
            <w:r>
              <w:rPr>
                <w:snapToGrid w:val="0"/>
                <w:color w:val="000000"/>
              </w:rPr>
              <w:t>SOMERSET</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441</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452</w:t>
            </w:r>
          </w:p>
        </w:tc>
        <w:tc>
          <w:tcPr>
            <w:tcW w:w="90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+11</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149</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131</w:t>
            </w:r>
          </w:p>
        </w:tc>
        <w:tc>
          <w:tcPr>
            <w:tcW w:w="90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-19</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55</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60</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+4</w:t>
            </w:r>
          </w:p>
        </w:tc>
        <w:tc>
          <w:tcPr>
            <w:tcW w:w="720" w:type="dxa"/>
          </w:tcPr>
          <w:p w:rsidR="00000000" w:rsidRDefault="00C40079">
            <w:pPr>
              <w:jc w:val="right"/>
              <w:rPr>
                <w:snapToGrid w:val="0"/>
                <w:color w:val="000000"/>
              </w:rPr>
            </w:pPr>
            <w:r>
              <w:rPr>
                <w:snapToGrid w:val="0"/>
                <w:color w:val="000000"/>
              </w:rPr>
              <w:t>152</w:t>
            </w:r>
          </w:p>
        </w:tc>
        <w:tc>
          <w:tcPr>
            <w:tcW w:w="720" w:type="dxa"/>
          </w:tcPr>
          <w:p w:rsidR="00000000" w:rsidRDefault="00C40079">
            <w:pPr>
              <w:jc w:val="right"/>
              <w:rPr>
                <w:snapToGrid w:val="0"/>
                <w:color w:val="000000"/>
              </w:rPr>
            </w:pPr>
            <w:r>
              <w:rPr>
                <w:snapToGrid w:val="0"/>
                <w:color w:val="000000"/>
              </w:rPr>
              <w:t>88</w:t>
            </w:r>
          </w:p>
        </w:tc>
        <w:tc>
          <w:tcPr>
            <w:tcW w:w="900" w:type="dxa"/>
          </w:tcPr>
          <w:p w:rsidR="00000000" w:rsidRDefault="00C40079">
            <w:pPr>
              <w:jc w:val="right"/>
              <w:rPr>
                <w:snapToGrid w:val="0"/>
                <w:color w:val="000000"/>
              </w:rPr>
            </w:pPr>
            <w:r>
              <w:rPr>
                <w:snapToGrid w:val="0"/>
                <w:color w:val="000000"/>
              </w:rPr>
              <w:t>-64</w:t>
            </w:r>
          </w:p>
        </w:tc>
      </w:tr>
      <w:tr w:rsidR="00000000">
        <w:tblPrEx>
          <w:tblCellMar>
            <w:top w:w="0" w:type="dxa"/>
            <w:bottom w:w="0" w:type="dxa"/>
          </w:tblCellMar>
        </w:tblPrEx>
        <w:tc>
          <w:tcPr>
            <w:tcW w:w="1404" w:type="dxa"/>
          </w:tcPr>
          <w:p w:rsidR="00000000" w:rsidRDefault="00C40079">
            <w:pPr>
              <w:tabs>
                <w:tab w:val="left" w:pos="720"/>
                <w:tab w:val="left" w:pos="1080"/>
                <w:tab w:val="left" w:pos="1440"/>
                <w:tab w:val="left" w:pos="1800"/>
                <w:tab w:val="left" w:pos="2160"/>
              </w:tabs>
              <w:rPr>
                <w:snapToGrid w:val="0"/>
                <w:color w:val="000000"/>
              </w:rPr>
            </w:pPr>
            <w:r>
              <w:rPr>
                <w:snapToGrid w:val="0"/>
                <w:color w:val="000000"/>
              </w:rPr>
              <w:t>UNION</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272</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289</w:t>
            </w:r>
          </w:p>
        </w:tc>
        <w:tc>
          <w:tcPr>
            <w:tcW w:w="90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+17</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333</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291</w:t>
            </w:r>
          </w:p>
        </w:tc>
        <w:tc>
          <w:tcPr>
            <w:tcW w:w="90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-42</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540</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589</w:t>
            </w:r>
          </w:p>
        </w:tc>
        <w:tc>
          <w:tcPr>
            <w:tcW w:w="720" w:type="dxa"/>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+49</w:t>
            </w:r>
          </w:p>
        </w:tc>
        <w:tc>
          <w:tcPr>
            <w:tcW w:w="720" w:type="dxa"/>
          </w:tcPr>
          <w:p w:rsidR="00000000" w:rsidRDefault="00C40079">
            <w:pPr>
              <w:jc w:val="right"/>
              <w:rPr>
                <w:snapToGrid w:val="0"/>
                <w:color w:val="000000"/>
              </w:rPr>
            </w:pPr>
            <w:r>
              <w:rPr>
                <w:snapToGrid w:val="0"/>
                <w:color w:val="000000"/>
              </w:rPr>
              <w:t>185</w:t>
            </w:r>
          </w:p>
        </w:tc>
        <w:tc>
          <w:tcPr>
            <w:tcW w:w="720" w:type="dxa"/>
          </w:tcPr>
          <w:p w:rsidR="00000000" w:rsidRDefault="00C40079">
            <w:pPr>
              <w:jc w:val="right"/>
              <w:rPr>
                <w:snapToGrid w:val="0"/>
                <w:color w:val="000000"/>
              </w:rPr>
            </w:pPr>
            <w:r>
              <w:rPr>
                <w:snapToGrid w:val="0"/>
                <w:color w:val="000000"/>
              </w:rPr>
              <w:t>108</w:t>
            </w:r>
          </w:p>
        </w:tc>
        <w:tc>
          <w:tcPr>
            <w:tcW w:w="900" w:type="dxa"/>
          </w:tcPr>
          <w:p w:rsidR="00000000" w:rsidRDefault="00C40079">
            <w:pPr>
              <w:jc w:val="right"/>
              <w:rPr>
                <w:snapToGrid w:val="0"/>
                <w:color w:val="000000"/>
              </w:rPr>
            </w:pPr>
            <w:r>
              <w:rPr>
                <w:snapToGrid w:val="0"/>
                <w:color w:val="000000"/>
              </w:rPr>
              <w:t>-78</w:t>
            </w:r>
          </w:p>
        </w:tc>
      </w:tr>
      <w:tr w:rsidR="00000000">
        <w:tblPrEx>
          <w:tblCellMar>
            <w:top w:w="0" w:type="dxa"/>
            <w:bottom w:w="0" w:type="dxa"/>
          </w:tblCellMar>
        </w:tblPrEx>
        <w:tc>
          <w:tcPr>
            <w:tcW w:w="1404" w:type="dxa"/>
          </w:tcPr>
          <w:p w:rsidR="00000000" w:rsidRDefault="00C40079">
            <w:pPr>
              <w:tabs>
                <w:tab w:val="left" w:pos="720"/>
                <w:tab w:val="left" w:pos="1080"/>
                <w:tab w:val="left" w:pos="1440"/>
                <w:tab w:val="left" w:pos="1800"/>
                <w:tab w:val="left" w:pos="2160"/>
              </w:tabs>
              <w:rPr>
                <w:b/>
                <w:snapToGrid w:val="0"/>
                <w:color w:val="000000"/>
              </w:rPr>
            </w:pPr>
            <w:r>
              <w:rPr>
                <w:b/>
                <w:snapToGrid w:val="0"/>
                <w:color w:val="000000"/>
              </w:rPr>
              <w:t>TOTAL for New Jersey portion of the  NY/NJ/ LI/CT Area</w:t>
            </w:r>
          </w:p>
        </w:tc>
        <w:tc>
          <w:tcPr>
            <w:tcW w:w="720" w:type="dxa"/>
          </w:tcPr>
          <w:p w:rsidR="00000000" w:rsidRDefault="00C40079">
            <w:pPr>
              <w:tabs>
                <w:tab w:val="left" w:pos="720"/>
                <w:tab w:val="left" w:pos="1080"/>
                <w:tab w:val="left" w:pos="1440"/>
                <w:tab w:val="left" w:pos="1800"/>
                <w:tab w:val="left" w:pos="2160"/>
              </w:tabs>
              <w:jc w:val="right"/>
              <w:rPr>
                <w:b/>
                <w:snapToGrid w:val="0"/>
                <w:color w:val="000000"/>
              </w:rPr>
            </w:pPr>
          </w:p>
          <w:p w:rsidR="00000000" w:rsidRDefault="00C40079">
            <w:pPr>
              <w:tabs>
                <w:tab w:val="left" w:pos="720"/>
                <w:tab w:val="left" w:pos="1080"/>
                <w:tab w:val="left" w:pos="1440"/>
                <w:tab w:val="left" w:pos="1800"/>
                <w:tab w:val="left" w:pos="2160"/>
              </w:tabs>
              <w:jc w:val="right"/>
              <w:rPr>
                <w:b/>
                <w:snapToGrid w:val="0"/>
                <w:color w:val="000000"/>
              </w:rPr>
            </w:pPr>
            <w:r>
              <w:rPr>
                <w:b/>
                <w:snapToGrid w:val="0"/>
                <w:color w:val="000000"/>
              </w:rPr>
              <w:t>5,736</w:t>
            </w:r>
          </w:p>
        </w:tc>
        <w:tc>
          <w:tcPr>
            <w:tcW w:w="720" w:type="dxa"/>
          </w:tcPr>
          <w:p w:rsidR="00000000" w:rsidRDefault="00C40079">
            <w:pPr>
              <w:tabs>
                <w:tab w:val="left" w:pos="720"/>
                <w:tab w:val="left" w:pos="1080"/>
                <w:tab w:val="left" w:pos="1440"/>
                <w:tab w:val="left" w:pos="1800"/>
                <w:tab w:val="left" w:pos="2160"/>
              </w:tabs>
              <w:jc w:val="right"/>
              <w:rPr>
                <w:b/>
                <w:snapToGrid w:val="0"/>
                <w:color w:val="000000"/>
              </w:rPr>
            </w:pPr>
          </w:p>
          <w:p w:rsidR="00000000" w:rsidRDefault="00C40079">
            <w:pPr>
              <w:tabs>
                <w:tab w:val="left" w:pos="720"/>
                <w:tab w:val="left" w:pos="1080"/>
                <w:tab w:val="left" w:pos="1440"/>
                <w:tab w:val="left" w:pos="1800"/>
                <w:tab w:val="left" w:pos="2160"/>
              </w:tabs>
              <w:jc w:val="right"/>
              <w:rPr>
                <w:b/>
                <w:snapToGrid w:val="0"/>
                <w:color w:val="000000"/>
              </w:rPr>
            </w:pPr>
            <w:r>
              <w:rPr>
                <w:b/>
                <w:snapToGrid w:val="0"/>
                <w:color w:val="000000"/>
              </w:rPr>
              <w:t>5,930</w:t>
            </w:r>
          </w:p>
        </w:tc>
        <w:tc>
          <w:tcPr>
            <w:tcW w:w="900" w:type="dxa"/>
          </w:tcPr>
          <w:p w:rsidR="00000000" w:rsidRDefault="00C40079">
            <w:pPr>
              <w:tabs>
                <w:tab w:val="left" w:pos="720"/>
                <w:tab w:val="left" w:pos="1080"/>
                <w:tab w:val="left" w:pos="1440"/>
                <w:tab w:val="left" w:pos="1800"/>
                <w:tab w:val="left" w:pos="2160"/>
              </w:tabs>
              <w:jc w:val="right"/>
              <w:rPr>
                <w:b/>
                <w:snapToGrid w:val="0"/>
                <w:color w:val="000000"/>
              </w:rPr>
            </w:pPr>
          </w:p>
          <w:p w:rsidR="00000000" w:rsidRDefault="00C40079">
            <w:pPr>
              <w:tabs>
                <w:tab w:val="left" w:pos="720"/>
                <w:tab w:val="left" w:pos="1080"/>
                <w:tab w:val="left" w:pos="1440"/>
                <w:tab w:val="left" w:pos="1800"/>
                <w:tab w:val="left" w:pos="2160"/>
              </w:tabs>
              <w:jc w:val="right"/>
              <w:rPr>
                <w:b/>
                <w:snapToGrid w:val="0"/>
                <w:color w:val="000000"/>
              </w:rPr>
            </w:pPr>
            <w:r>
              <w:rPr>
                <w:b/>
                <w:snapToGrid w:val="0"/>
                <w:color w:val="000000"/>
              </w:rPr>
              <w:t>+193</w:t>
            </w:r>
          </w:p>
          <w:p w:rsidR="00000000" w:rsidRDefault="00C40079">
            <w:pPr>
              <w:tabs>
                <w:tab w:val="left" w:pos="720"/>
                <w:tab w:val="left" w:pos="1080"/>
                <w:tab w:val="left" w:pos="1440"/>
                <w:tab w:val="left" w:pos="1800"/>
                <w:tab w:val="left" w:pos="2160"/>
              </w:tabs>
              <w:jc w:val="right"/>
              <w:rPr>
                <w:b/>
                <w:snapToGrid w:val="0"/>
                <w:color w:val="000000"/>
              </w:rPr>
            </w:pPr>
            <w:r>
              <w:rPr>
                <w:b/>
                <w:snapToGrid w:val="0"/>
                <w:color w:val="000000"/>
              </w:rPr>
              <w:t>(+3%)</w:t>
            </w:r>
          </w:p>
        </w:tc>
        <w:tc>
          <w:tcPr>
            <w:tcW w:w="720" w:type="dxa"/>
          </w:tcPr>
          <w:p w:rsidR="00000000" w:rsidRDefault="00C40079">
            <w:pPr>
              <w:tabs>
                <w:tab w:val="left" w:pos="720"/>
                <w:tab w:val="left" w:pos="1080"/>
                <w:tab w:val="left" w:pos="1440"/>
                <w:tab w:val="left" w:pos="1800"/>
                <w:tab w:val="left" w:pos="2160"/>
              </w:tabs>
              <w:jc w:val="right"/>
              <w:rPr>
                <w:b/>
                <w:snapToGrid w:val="0"/>
                <w:color w:val="000000"/>
              </w:rPr>
            </w:pPr>
          </w:p>
          <w:p w:rsidR="00000000" w:rsidRDefault="00C40079">
            <w:pPr>
              <w:tabs>
                <w:tab w:val="left" w:pos="720"/>
                <w:tab w:val="left" w:pos="1080"/>
                <w:tab w:val="left" w:pos="1440"/>
                <w:tab w:val="left" w:pos="1800"/>
                <w:tab w:val="left" w:pos="2160"/>
              </w:tabs>
              <w:jc w:val="right"/>
              <w:rPr>
                <w:b/>
                <w:snapToGrid w:val="0"/>
                <w:color w:val="000000"/>
              </w:rPr>
            </w:pPr>
            <w:r>
              <w:rPr>
                <w:b/>
                <w:snapToGrid w:val="0"/>
                <w:color w:val="000000"/>
              </w:rPr>
              <w:t>3,206</w:t>
            </w:r>
          </w:p>
        </w:tc>
        <w:tc>
          <w:tcPr>
            <w:tcW w:w="720" w:type="dxa"/>
          </w:tcPr>
          <w:p w:rsidR="00000000" w:rsidRDefault="00C40079">
            <w:pPr>
              <w:tabs>
                <w:tab w:val="left" w:pos="720"/>
                <w:tab w:val="left" w:pos="1080"/>
                <w:tab w:val="left" w:pos="1440"/>
                <w:tab w:val="left" w:pos="1800"/>
                <w:tab w:val="left" w:pos="2160"/>
              </w:tabs>
              <w:jc w:val="right"/>
              <w:rPr>
                <w:b/>
                <w:snapToGrid w:val="0"/>
                <w:color w:val="000000"/>
              </w:rPr>
            </w:pPr>
          </w:p>
          <w:p w:rsidR="00000000" w:rsidRDefault="00C40079">
            <w:pPr>
              <w:tabs>
                <w:tab w:val="left" w:pos="720"/>
                <w:tab w:val="left" w:pos="1080"/>
                <w:tab w:val="left" w:pos="1440"/>
                <w:tab w:val="left" w:pos="1800"/>
                <w:tab w:val="left" w:pos="2160"/>
              </w:tabs>
              <w:jc w:val="right"/>
              <w:rPr>
                <w:b/>
                <w:snapToGrid w:val="0"/>
                <w:color w:val="000000"/>
              </w:rPr>
            </w:pPr>
            <w:r>
              <w:rPr>
                <w:b/>
                <w:snapToGrid w:val="0"/>
                <w:color w:val="000000"/>
              </w:rPr>
              <w:t>2,788</w:t>
            </w:r>
          </w:p>
        </w:tc>
        <w:tc>
          <w:tcPr>
            <w:tcW w:w="900" w:type="dxa"/>
          </w:tcPr>
          <w:p w:rsidR="00000000" w:rsidRDefault="00C40079">
            <w:pPr>
              <w:tabs>
                <w:tab w:val="left" w:pos="720"/>
                <w:tab w:val="left" w:pos="1080"/>
                <w:tab w:val="left" w:pos="1440"/>
                <w:tab w:val="left" w:pos="1800"/>
                <w:tab w:val="left" w:pos="2160"/>
              </w:tabs>
              <w:jc w:val="right"/>
              <w:rPr>
                <w:b/>
                <w:snapToGrid w:val="0"/>
                <w:color w:val="000000"/>
              </w:rPr>
            </w:pPr>
          </w:p>
          <w:p w:rsidR="00000000" w:rsidRDefault="00C40079">
            <w:pPr>
              <w:tabs>
                <w:tab w:val="left" w:pos="720"/>
                <w:tab w:val="left" w:pos="1080"/>
                <w:tab w:val="left" w:pos="1440"/>
                <w:tab w:val="left" w:pos="1800"/>
                <w:tab w:val="left" w:pos="2160"/>
              </w:tabs>
              <w:jc w:val="right"/>
              <w:rPr>
                <w:b/>
                <w:snapToGrid w:val="0"/>
                <w:color w:val="000000"/>
              </w:rPr>
            </w:pPr>
            <w:r>
              <w:rPr>
                <w:b/>
                <w:snapToGrid w:val="0"/>
                <w:color w:val="000000"/>
              </w:rPr>
              <w:t>-419</w:t>
            </w:r>
          </w:p>
          <w:p w:rsidR="00000000" w:rsidRDefault="00C40079">
            <w:pPr>
              <w:tabs>
                <w:tab w:val="left" w:pos="720"/>
                <w:tab w:val="left" w:pos="1080"/>
                <w:tab w:val="left" w:pos="1440"/>
                <w:tab w:val="left" w:pos="1800"/>
                <w:tab w:val="left" w:pos="2160"/>
              </w:tabs>
              <w:jc w:val="right"/>
              <w:rPr>
                <w:b/>
                <w:snapToGrid w:val="0"/>
                <w:color w:val="000000"/>
              </w:rPr>
            </w:pPr>
            <w:r>
              <w:rPr>
                <w:b/>
                <w:snapToGrid w:val="0"/>
                <w:color w:val="000000"/>
              </w:rPr>
              <w:t>(-13%)</w:t>
            </w:r>
          </w:p>
        </w:tc>
        <w:tc>
          <w:tcPr>
            <w:tcW w:w="720" w:type="dxa"/>
          </w:tcPr>
          <w:p w:rsidR="00000000" w:rsidRDefault="00C40079">
            <w:pPr>
              <w:tabs>
                <w:tab w:val="left" w:pos="720"/>
                <w:tab w:val="left" w:pos="1080"/>
                <w:tab w:val="left" w:pos="1440"/>
                <w:tab w:val="left" w:pos="1800"/>
                <w:tab w:val="left" w:pos="2160"/>
              </w:tabs>
              <w:jc w:val="right"/>
              <w:rPr>
                <w:b/>
                <w:snapToGrid w:val="0"/>
                <w:color w:val="000000"/>
              </w:rPr>
            </w:pPr>
          </w:p>
          <w:p w:rsidR="00000000" w:rsidRDefault="00C40079">
            <w:pPr>
              <w:tabs>
                <w:tab w:val="left" w:pos="720"/>
                <w:tab w:val="left" w:pos="1080"/>
                <w:tab w:val="left" w:pos="1440"/>
                <w:tab w:val="left" w:pos="1800"/>
                <w:tab w:val="left" w:pos="2160"/>
              </w:tabs>
              <w:jc w:val="right"/>
              <w:rPr>
                <w:b/>
                <w:snapToGrid w:val="0"/>
                <w:color w:val="000000"/>
              </w:rPr>
            </w:pPr>
            <w:r>
              <w:rPr>
                <w:b/>
                <w:snapToGrid w:val="0"/>
                <w:color w:val="000000"/>
              </w:rPr>
              <w:t>2,790</w:t>
            </w:r>
          </w:p>
        </w:tc>
        <w:tc>
          <w:tcPr>
            <w:tcW w:w="720" w:type="dxa"/>
          </w:tcPr>
          <w:p w:rsidR="00000000" w:rsidRDefault="00C40079">
            <w:pPr>
              <w:tabs>
                <w:tab w:val="left" w:pos="720"/>
                <w:tab w:val="left" w:pos="1080"/>
                <w:tab w:val="left" w:pos="1440"/>
                <w:tab w:val="left" w:pos="1800"/>
                <w:tab w:val="left" w:pos="2160"/>
              </w:tabs>
              <w:jc w:val="right"/>
              <w:rPr>
                <w:b/>
                <w:snapToGrid w:val="0"/>
                <w:color w:val="000000"/>
              </w:rPr>
            </w:pPr>
          </w:p>
          <w:p w:rsidR="00000000" w:rsidRDefault="00C40079">
            <w:pPr>
              <w:tabs>
                <w:tab w:val="left" w:pos="720"/>
                <w:tab w:val="left" w:pos="1080"/>
                <w:tab w:val="left" w:pos="1440"/>
                <w:tab w:val="left" w:pos="1800"/>
                <w:tab w:val="left" w:pos="2160"/>
              </w:tabs>
              <w:jc w:val="right"/>
              <w:rPr>
                <w:b/>
                <w:snapToGrid w:val="0"/>
                <w:color w:val="000000"/>
              </w:rPr>
            </w:pPr>
            <w:r>
              <w:rPr>
                <w:b/>
                <w:snapToGrid w:val="0"/>
                <w:color w:val="000000"/>
              </w:rPr>
              <w:t>3,035</w:t>
            </w:r>
          </w:p>
        </w:tc>
        <w:tc>
          <w:tcPr>
            <w:tcW w:w="720" w:type="dxa"/>
          </w:tcPr>
          <w:p w:rsidR="00000000" w:rsidRDefault="00C40079">
            <w:pPr>
              <w:tabs>
                <w:tab w:val="left" w:pos="720"/>
                <w:tab w:val="left" w:pos="1080"/>
                <w:tab w:val="left" w:pos="1440"/>
                <w:tab w:val="left" w:pos="1800"/>
                <w:tab w:val="left" w:pos="2160"/>
              </w:tabs>
              <w:jc w:val="right"/>
              <w:rPr>
                <w:b/>
                <w:snapToGrid w:val="0"/>
                <w:color w:val="000000"/>
              </w:rPr>
            </w:pPr>
          </w:p>
          <w:p w:rsidR="00000000" w:rsidRDefault="00C40079">
            <w:pPr>
              <w:tabs>
                <w:tab w:val="left" w:pos="720"/>
                <w:tab w:val="left" w:pos="1080"/>
                <w:tab w:val="left" w:pos="1440"/>
                <w:tab w:val="left" w:pos="1800"/>
                <w:tab w:val="left" w:pos="2160"/>
              </w:tabs>
              <w:jc w:val="right"/>
              <w:rPr>
                <w:b/>
                <w:snapToGrid w:val="0"/>
                <w:color w:val="000000"/>
              </w:rPr>
            </w:pPr>
            <w:r>
              <w:rPr>
                <w:b/>
                <w:snapToGrid w:val="0"/>
                <w:color w:val="000000"/>
              </w:rPr>
              <w:t>+245</w:t>
            </w:r>
          </w:p>
          <w:p w:rsidR="00000000" w:rsidRDefault="00C40079">
            <w:pPr>
              <w:tabs>
                <w:tab w:val="left" w:pos="720"/>
                <w:tab w:val="left" w:pos="1080"/>
                <w:tab w:val="left" w:pos="1440"/>
                <w:tab w:val="left" w:pos="1800"/>
                <w:tab w:val="left" w:pos="2160"/>
              </w:tabs>
              <w:jc w:val="right"/>
              <w:rPr>
                <w:b/>
                <w:snapToGrid w:val="0"/>
                <w:color w:val="000000"/>
              </w:rPr>
            </w:pPr>
            <w:r>
              <w:rPr>
                <w:b/>
                <w:snapToGrid w:val="0"/>
                <w:color w:val="000000"/>
              </w:rPr>
              <w:t>(+9%)</w:t>
            </w:r>
          </w:p>
        </w:tc>
        <w:tc>
          <w:tcPr>
            <w:tcW w:w="720" w:type="dxa"/>
          </w:tcPr>
          <w:p w:rsidR="00000000" w:rsidRDefault="00C40079">
            <w:pPr>
              <w:tabs>
                <w:tab w:val="left" w:pos="720"/>
                <w:tab w:val="left" w:pos="1080"/>
                <w:tab w:val="left" w:pos="1440"/>
                <w:tab w:val="left" w:pos="1800"/>
                <w:tab w:val="left" w:pos="2160"/>
              </w:tabs>
              <w:jc w:val="right"/>
              <w:rPr>
                <w:b/>
                <w:snapToGrid w:val="0"/>
                <w:color w:val="000000"/>
              </w:rPr>
            </w:pPr>
          </w:p>
          <w:p w:rsidR="00000000" w:rsidRDefault="00C40079">
            <w:pPr>
              <w:tabs>
                <w:tab w:val="left" w:pos="720"/>
                <w:tab w:val="left" w:pos="1080"/>
                <w:tab w:val="left" w:pos="1440"/>
                <w:tab w:val="left" w:pos="1800"/>
                <w:tab w:val="left" w:pos="2160"/>
              </w:tabs>
              <w:jc w:val="right"/>
              <w:rPr>
                <w:b/>
                <w:snapToGrid w:val="0"/>
                <w:color w:val="000000"/>
              </w:rPr>
            </w:pPr>
            <w:r>
              <w:rPr>
                <w:b/>
                <w:snapToGrid w:val="0"/>
                <w:color w:val="000000"/>
              </w:rPr>
              <w:t>2,220</w:t>
            </w:r>
          </w:p>
        </w:tc>
        <w:tc>
          <w:tcPr>
            <w:tcW w:w="720" w:type="dxa"/>
          </w:tcPr>
          <w:p w:rsidR="00000000" w:rsidRDefault="00C40079">
            <w:pPr>
              <w:tabs>
                <w:tab w:val="left" w:pos="720"/>
                <w:tab w:val="left" w:pos="1080"/>
                <w:tab w:val="left" w:pos="1440"/>
                <w:tab w:val="left" w:pos="1800"/>
                <w:tab w:val="left" w:pos="2160"/>
              </w:tabs>
              <w:jc w:val="right"/>
              <w:rPr>
                <w:b/>
                <w:snapToGrid w:val="0"/>
                <w:color w:val="000000"/>
              </w:rPr>
            </w:pPr>
          </w:p>
          <w:p w:rsidR="00000000" w:rsidRDefault="00C40079">
            <w:pPr>
              <w:tabs>
                <w:tab w:val="left" w:pos="720"/>
                <w:tab w:val="left" w:pos="1080"/>
                <w:tab w:val="left" w:pos="1440"/>
                <w:tab w:val="left" w:pos="1800"/>
                <w:tab w:val="left" w:pos="2160"/>
              </w:tabs>
              <w:jc w:val="right"/>
              <w:rPr>
                <w:b/>
                <w:snapToGrid w:val="0"/>
                <w:color w:val="000000"/>
              </w:rPr>
            </w:pPr>
            <w:r>
              <w:rPr>
                <w:b/>
                <w:snapToGrid w:val="0"/>
                <w:color w:val="000000"/>
              </w:rPr>
              <w:t>1,296</w:t>
            </w:r>
          </w:p>
        </w:tc>
        <w:tc>
          <w:tcPr>
            <w:tcW w:w="900" w:type="dxa"/>
          </w:tcPr>
          <w:p w:rsidR="00000000" w:rsidRDefault="00C40079">
            <w:pPr>
              <w:tabs>
                <w:tab w:val="left" w:pos="720"/>
                <w:tab w:val="left" w:pos="1080"/>
                <w:tab w:val="left" w:pos="1440"/>
                <w:tab w:val="left" w:pos="1800"/>
                <w:tab w:val="left" w:pos="2160"/>
              </w:tabs>
              <w:jc w:val="right"/>
              <w:rPr>
                <w:b/>
                <w:snapToGrid w:val="0"/>
                <w:color w:val="000000"/>
              </w:rPr>
            </w:pPr>
          </w:p>
          <w:p w:rsidR="00000000" w:rsidRDefault="00C40079">
            <w:pPr>
              <w:tabs>
                <w:tab w:val="left" w:pos="720"/>
                <w:tab w:val="left" w:pos="1080"/>
                <w:tab w:val="left" w:pos="1440"/>
                <w:tab w:val="left" w:pos="1800"/>
                <w:tab w:val="left" w:pos="2160"/>
              </w:tabs>
              <w:jc w:val="right"/>
              <w:rPr>
                <w:b/>
                <w:snapToGrid w:val="0"/>
                <w:color w:val="000000"/>
              </w:rPr>
            </w:pPr>
            <w:r>
              <w:rPr>
                <w:b/>
                <w:snapToGrid w:val="0"/>
                <w:color w:val="000000"/>
              </w:rPr>
              <w:t>-924</w:t>
            </w:r>
          </w:p>
          <w:p w:rsidR="00000000" w:rsidRDefault="00C40079">
            <w:pPr>
              <w:tabs>
                <w:tab w:val="left" w:pos="720"/>
                <w:tab w:val="left" w:pos="1080"/>
                <w:tab w:val="left" w:pos="1440"/>
                <w:tab w:val="left" w:pos="1800"/>
                <w:tab w:val="left" w:pos="2160"/>
              </w:tabs>
              <w:jc w:val="right"/>
              <w:rPr>
                <w:b/>
                <w:snapToGrid w:val="0"/>
                <w:color w:val="000000"/>
              </w:rPr>
            </w:pPr>
            <w:r>
              <w:rPr>
                <w:b/>
                <w:snapToGrid w:val="0"/>
                <w:color w:val="000000"/>
              </w:rPr>
              <w:t>(-42%)</w:t>
            </w:r>
          </w:p>
        </w:tc>
      </w:tr>
    </w:tbl>
    <w:p w:rsidR="00000000" w:rsidRDefault="00C40079">
      <w:pPr>
        <w:pStyle w:val="Level2"/>
        <w:widowControl/>
        <w:tabs>
          <w:tab w:val="left" w:pos="720"/>
          <w:tab w:val="left" w:pos="1080"/>
          <w:tab w:val="left" w:pos="1440"/>
          <w:tab w:val="left" w:pos="1800"/>
          <w:tab w:val="left" w:pos="2160"/>
        </w:tabs>
        <w:rPr>
          <w:sz w:val="22"/>
        </w:rPr>
      </w:pPr>
      <w:r>
        <w:rPr>
          <w:sz w:val="22"/>
        </w:rPr>
        <w:t>NOTES:</w:t>
      </w:r>
    </w:p>
    <w:p w:rsidR="00000000" w:rsidRDefault="00C40079">
      <w:pPr>
        <w:pStyle w:val="Level2"/>
        <w:numPr>
          <w:ilvl w:val="0"/>
          <w:numId w:val="35"/>
        </w:numPr>
        <w:tabs>
          <w:tab w:val="left" w:pos="720"/>
          <w:tab w:val="left" w:pos="1080"/>
          <w:tab w:val="left" w:pos="1440"/>
          <w:tab w:val="left" w:pos="1800"/>
          <w:tab w:val="left" w:pos="2160"/>
        </w:tabs>
        <w:rPr>
          <w:sz w:val="22"/>
        </w:rPr>
      </w:pPr>
      <w:r>
        <w:rPr>
          <w:sz w:val="22"/>
        </w:rPr>
        <w:t xml:space="preserve">In order for the </w:t>
      </w:r>
      <w:r>
        <w:rPr>
          <w:sz w:val="22"/>
        </w:rPr>
        <w:t xml:space="preserve">calculated inventory values to more closely match the actual measured levels in New Jersey air quality monitors, the fugitive dust emissions were multiplied by a dust adjustment factor of 20%.  Fugitive dusts are directly released air contaminants that do </w:t>
      </w:r>
      <w:r>
        <w:rPr>
          <w:sz w:val="22"/>
        </w:rPr>
        <w:t>not pass through an exhaust pipe, stack, flue, vent or chimney.  The main sources of fugitive dusts are dust from paved and unpaved roadways, stock/storage piles, landfill activity, quarry/mining activity, raw material handling, construction and agricultur</w:t>
      </w:r>
      <w:r>
        <w:rPr>
          <w:sz w:val="22"/>
        </w:rPr>
        <w:t>al tilling.</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br w:type="page"/>
      </w:r>
    </w:p>
    <w:p w:rsidR="00000000" w:rsidRDefault="00C40079">
      <w:pPr>
        <w:pStyle w:val="Level2"/>
        <w:tabs>
          <w:tab w:val="left" w:pos="720"/>
          <w:tab w:val="left" w:pos="1080"/>
          <w:tab w:val="left" w:pos="1440"/>
          <w:tab w:val="left" w:pos="1800"/>
          <w:tab w:val="left" w:pos="2160"/>
        </w:tabs>
        <w:jc w:val="center"/>
        <w:rPr>
          <w:b/>
        </w:rPr>
      </w:pPr>
      <w:bookmarkStart w:id="132" w:name="Table_IX"/>
      <w:bookmarkStart w:id="133" w:name="_Hlt126641902"/>
      <w:bookmarkEnd w:id="133"/>
      <w:r>
        <w:rPr>
          <w:b/>
        </w:rPr>
        <w:t>Table IX</w:t>
      </w:r>
      <w:bookmarkEnd w:id="132"/>
    </w:p>
    <w:p w:rsidR="00000000" w:rsidRDefault="00C40079">
      <w:pPr>
        <w:pStyle w:val="Level2"/>
        <w:tabs>
          <w:tab w:val="left" w:pos="720"/>
          <w:tab w:val="left" w:pos="1080"/>
          <w:tab w:val="left" w:pos="1440"/>
          <w:tab w:val="left" w:pos="1800"/>
          <w:tab w:val="left" w:pos="2160"/>
        </w:tabs>
        <w:jc w:val="center"/>
        <w:rPr>
          <w:b/>
        </w:rPr>
      </w:pPr>
      <w:r>
        <w:rPr>
          <w:b/>
        </w:rPr>
        <w:t>Direct PM</w:t>
      </w:r>
      <w:r>
        <w:rPr>
          <w:b/>
          <w:vertAlign w:val="subscript"/>
        </w:rPr>
        <w:t>2.5</w:t>
      </w:r>
      <w:r>
        <w:rPr>
          <w:b/>
        </w:rPr>
        <w:t>: Calculation of the Percent Reduction in Projected 2009 Emissions</w:t>
      </w:r>
    </w:p>
    <w:p w:rsidR="00000000" w:rsidRDefault="00C40079">
      <w:pPr>
        <w:pStyle w:val="Level2"/>
        <w:tabs>
          <w:tab w:val="left" w:pos="720"/>
          <w:tab w:val="left" w:pos="1080"/>
          <w:tab w:val="left" w:pos="1440"/>
          <w:tab w:val="left" w:pos="1800"/>
          <w:tab w:val="left" w:pos="2160"/>
        </w:tabs>
        <w:jc w:val="center"/>
        <w:rPr>
          <w:b/>
        </w:rPr>
      </w:pPr>
      <w:r>
        <w:rPr>
          <w:b/>
        </w:rPr>
        <w:t>from the 2002 Emissions by County</w:t>
      </w:r>
    </w:p>
    <w:p w:rsidR="00000000" w:rsidRDefault="00C40079">
      <w:pPr>
        <w:pStyle w:val="Level2"/>
        <w:tabs>
          <w:tab w:val="left" w:pos="720"/>
          <w:tab w:val="left" w:pos="1080"/>
          <w:tab w:val="left" w:pos="1440"/>
          <w:tab w:val="left" w:pos="1800"/>
          <w:tab w:val="left" w:pos="2160"/>
        </w:tabs>
      </w:pPr>
    </w:p>
    <w:tbl>
      <w:tblPr>
        <w:tblW w:w="0" w:type="auto"/>
        <w:tblInd w:w="390" w:type="dxa"/>
        <w:tblLayout w:type="fixed"/>
        <w:tblCellMar>
          <w:left w:w="30" w:type="dxa"/>
          <w:right w:w="30" w:type="dxa"/>
        </w:tblCellMar>
        <w:tblLook w:val="0000" w:firstRow="0" w:lastRow="0" w:firstColumn="0" w:lastColumn="0" w:noHBand="0" w:noVBand="0"/>
      </w:tblPr>
      <w:tblGrid>
        <w:gridCol w:w="2160"/>
        <w:gridCol w:w="1890"/>
        <w:gridCol w:w="1350"/>
        <w:gridCol w:w="1350"/>
        <w:gridCol w:w="1620"/>
      </w:tblGrid>
      <w:tr w:rsidR="00000000">
        <w:tblPrEx>
          <w:tblCellMar>
            <w:top w:w="0" w:type="dxa"/>
            <w:bottom w:w="0" w:type="dxa"/>
          </w:tblCellMar>
        </w:tblPrEx>
        <w:trPr>
          <w:cantSplit/>
          <w:trHeight w:val="253"/>
        </w:trPr>
        <w:tc>
          <w:tcPr>
            <w:tcW w:w="2160" w:type="dxa"/>
            <w:tcBorders>
              <w:top w:val="single" w:sz="12" w:space="0" w:color="auto"/>
              <w:left w:val="single" w:sz="12" w:space="0" w:color="auto"/>
              <w:right w:val="single" w:sz="18" w:space="0" w:color="auto"/>
            </w:tcBorders>
          </w:tcPr>
          <w:p w:rsidR="00000000" w:rsidRDefault="00C40079">
            <w:pPr>
              <w:tabs>
                <w:tab w:val="left" w:pos="720"/>
                <w:tab w:val="left" w:pos="1080"/>
                <w:tab w:val="left" w:pos="1440"/>
                <w:tab w:val="left" w:pos="1800"/>
                <w:tab w:val="left" w:pos="2160"/>
              </w:tabs>
              <w:jc w:val="right"/>
              <w:rPr>
                <w:b/>
                <w:snapToGrid w:val="0"/>
                <w:color w:val="000000"/>
                <w:sz w:val="24"/>
              </w:rPr>
            </w:pPr>
          </w:p>
        </w:tc>
        <w:tc>
          <w:tcPr>
            <w:tcW w:w="1890" w:type="dxa"/>
            <w:vMerge w:val="restart"/>
            <w:tcBorders>
              <w:top w:val="single" w:sz="12" w:space="0" w:color="auto"/>
              <w:left w:val="single" w:sz="18" w:space="0" w:color="auto"/>
              <w:right w:val="single" w:sz="18" w:space="0" w:color="auto"/>
            </w:tcBorders>
          </w:tcPr>
          <w:p w:rsidR="00000000" w:rsidRDefault="00C40079">
            <w:pPr>
              <w:tabs>
                <w:tab w:val="left" w:pos="720"/>
                <w:tab w:val="left" w:pos="1080"/>
                <w:tab w:val="left" w:pos="1440"/>
                <w:tab w:val="left" w:pos="1800"/>
                <w:tab w:val="left" w:pos="2160"/>
              </w:tabs>
              <w:jc w:val="center"/>
              <w:rPr>
                <w:b/>
                <w:snapToGrid w:val="0"/>
                <w:color w:val="000000"/>
                <w:sz w:val="24"/>
              </w:rPr>
            </w:pPr>
          </w:p>
          <w:p w:rsidR="00000000" w:rsidRDefault="00C40079">
            <w:pPr>
              <w:tabs>
                <w:tab w:val="left" w:pos="720"/>
                <w:tab w:val="left" w:pos="1080"/>
                <w:tab w:val="left" w:pos="1440"/>
                <w:tab w:val="left" w:pos="1800"/>
                <w:tab w:val="left" w:pos="2160"/>
              </w:tabs>
              <w:jc w:val="center"/>
              <w:rPr>
                <w:b/>
                <w:snapToGrid w:val="0"/>
                <w:color w:val="000000"/>
                <w:sz w:val="24"/>
              </w:rPr>
            </w:pPr>
            <w:r>
              <w:rPr>
                <w:b/>
                <w:snapToGrid w:val="0"/>
                <w:color w:val="000000"/>
                <w:sz w:val="24"/>
              </w:rPr>
              <w:t>% EMISSION REDUCTION</w:t>
            </w:r>
          </w:p>
        </w:tc>
        <w:tc>
          <w:tcPr>
            <w:tcW w:w="4320" w:type="dxa"/>
            <w:gridSpan w:val="3"/>
            <w:vMerge w:val="restart"/>
            <w:tcBorders>
              <w:top w:val="single" w:sz="12" w:space="0" w:color="auto"/>
              <w:left w:val="single" w:sz="18" w:space="0" w:color="auto"/>
              <w:bottom w:val="nil"/>
              <w:right w:val="single" w:sz="2" w:space="0" w:color="000000"/>
            </w:tcBorders>
          </w:tcPr>
          <w:p w:rsidR="00000000" w:rsidRDefault="00C40079">
            <w:pPr>
              <w:tabs>
                <w:tab w:val="left" w:pos="720"/>
                <w:tab w:val="left" w:pos="1080"/>
                <w:tab w:val="left" w:pos="1440"/>
                <w:tab w:val="left" w:pos="1800"/>
                <w:tab w:val="left" w:pos="2160"/>
              </w:tabs>
              <w:jc w:val="center"/>
              <w:rPr>
                <w:b/>
                <w:snapToGrid w:val="0"/>
                <w:color w:val="000000"/>
                <w:sz w:val="24"/>
              </w:rPr>
            </w:pPr>
            <w:r>
              <w:rPr>
                <w:b/>
                <w:snapToGrid w:val="0"/>
                <w:color w:val="000000"/>
                <w:sz w:val="24"/>
              </w:rPr>
              <w:t>CONTROLLED EMISSIONS ANNUAL (TONS PER YEAR)</w:t>
            </w:r>
            <w:r>
              <w:rPr>
                <w:b/>
                <w:snapToGrid w:val="0"/>
                <w:color w:val="000000"/>
                <w:sz w:val="24"/>
                <w:vertAlign w:val="superscript"/>
              </w:rPr>
              <w:t>(1)</w:t>
            </w:r>
          </w:p>
        </w:tc>
      </w:tr>
      <w:tr w:rsidR="00000000">
        <w:tblPrEx>
          <w:tblCellMar>
            <w:top w:w="0" w:type="dxa"/>
            <w:bottom w:w="0" w:type="dxa"/>
          </w:tblCellMar>
        </w:tblPrEx>
        <w:trPr>
          <w:cantSplit/>
          <w:trHeight w:val="266"/>
        </w:trPr>
        <w:tc>
          <w:tcPr>
            <w:tcW w:w="2160" w:type="dxa"/>
            <w:tcBorders>
              <w:left w:val="single" w:sz="12" w:space="0" w:color="auto"/>
              <w:right w:val="single" w:sz="18" w:space="0" w:color="auto"/>
            </w:tcBorders>
          </w:tcPr>
          <w:p w:rsidR="00000000" w:rsidRDefault="00C40079">
            <w:pPr>
              <w:tabs>
                <w:tab w:val="left" w:pos="720"/>
                <w:tab w:val="left" w:pos="1080"/>
                <w:tab w:val="left" w:pos="1440"/>
                <w:tab w:val="left" w:pos="1800"/>
                <w:tab w:val="left" w:pos="2160"/>
              </w:tabs>
              <w:jc w:val="right"/>
              <w:rPr>
                <w:snapToGrid w:val="0"/>
                <w:color w:val="000000"/>
                <w:sz w:val="24"/>
              </w:rPr>
            </w:pPr>
          </w:p>
        </w:tc>
        <w:tc>
          <w:tcPr>
            <w:tcW w:w="1890" w:type="dxa"/>
            <w:vMerge/>
            <w:tcBorders>
              <w:left w:val="single" w:sz="18" w:space="0" w:color="auto"/>
              <w:bottom w:val="nil"/>
              <w:right w:val="single" w:sz="18" w:space="0" w:color="auto"/>
            </w:tcBorders>
          </w:tcPr>
          <w:p w:rsidR="00000000" w:rsidRDefault="00C40079">
            <w:pPr>
              <w:tabs>
                <w:tab w:val="left" w:pos="720"/>
                <w:tab w:val="left" w:pos="1080"/>
                <w:tab w:val="left" w:pos="1440"/>
                <w:tab w:val="left" w:pos="1800"/>
                <w:tab w:val="left" w:pos="2160"/>
              </w:tabs>
              <w:jc w:val="center"/>
              <w:rPr>
                <w:snapToGrid w:val="0"/>
                <w:color w:val="000000"/>
                <w:sz w:val="24"/>
              </w:rPr>
            </w:pPr>
          </w:p>
        </w:tc>
        <w:tc>
          <w:tcPr>
            <w:tcW w:w="4320" w:type="dxa"/>
            <w:gridSpan w:val="3"/>
            <w:vMerge/>
            <w:tcBorders>
              <w:top w:val="nil"/>
              <w:left w:val="single" w:sz="18" w:space="0" w:color="auto"/>
              <w:bottom w:val="single" w:sz="12" w:space="0" w:color="auto"/>
              <w:right w:val="single" w:sz="2" w:space="0" w:color="000000"/>
            </w:tcBorders>
          </w:tcPr>
          <w:p w:rsidR="00000000" w:rsidRDefault="00C40079">
            <w:pPr>
              <w:tabs>
                <w:tab w:val="left" w:pos="720"/>
                <w:tab w:val="left" w:pos="1080"/>
                <w:tab w:val="left" w:pos="1440"/>
                <w:tab w:val="left" w:pos="1800"/>
                <w:tab w:val="left" w:pos="2160"/>
              </w:tabs>
              <w:jc w:val="center"/>
              <w:rPr>
                <w:snapToGrid w:val="0"/>
                <w:color w:val="000000"/>
                <w:sz w:val="24"/>
              </w:rPr>
            </w:pPr>
          </w:p>
        </w:tc>
      </w:tr>
      <w:tr w:rsidR="00000000">
        <w:tblPrEx>
          <w:tblCellMar>
            <w:top w:w="0" w:type="dxa"/>
            <w:bottom w:w="0" w:type="dxa"/>
          </w:tblCellMar>
        </w:tblPrEx>
        <w:trPr>
          <w:cantSplit/>
          <w:trHeight w:val="303"/>
        </w:trPr>
        <w:tc>
          <w:tcPr>
            <w:tcW w:w="2160" w:type="dxa"/>
            <w:tcBorders>
              <w:left w:val="single" w:sz="12" w:space="0" w:color="auto"/>
              <w:bottom w:val="single" w:sz="12" w:space="0" w:color="auto"/>
              <w:right w:val="single" w:sz="18" w:space="0" w:color="auto"/>
            </w:tcBorders>
          </w:tcPr>
          <w:p w:rsidR="00000000" w:rsidRDefault="00C40079">
            <w:pPr>
              <w:tabs>
                <w:tab w:val="left" w:pos="720"/>
                <w:tab w:val="left" w:pos="1080"/>
                <w:tab w:val="left" w:pos="1440"/>
                <w:tab w:val="left" w:pos="1800"/>
                <w:tab w:val="left" w:pos="2160"/>
              </w:tabs>
              <w:jc w:val="right"/>
              <w:rPr>
                <w:snapToGrid w:val="0"/>
                <w:color w:val="000000"/>
                <w:sz w:val="24"/>
              </w:rPr>
            </w:pPr>
          </w:p>
        </w:tc>
        <w:tc>
          <w:tcPr>
            <w:tcW w:w="1890" w:type="dxa"/>
            <w:vMerge/>
            <w:tcBorders>
              <w:top w:val="nil"/>
              <w:left w:val="single" w:sz="18" w:space="0" w:color="auto"/>
              <w:bottom w:val="single" w:sz="12" w:space="0" w:color="auto"/>
              <w:right w:val="single" w:sz="18" w:space="0" w:color="auto"/>
            </w:tcBorders>
          </w:tcPr>
          <w:p w:rsidR="00000000" w:rsidRDefault="00C40079">
            <w:pPr>
              <w:tabs>
                <w:tab w:val="left" w:pos="720"/>
                <w:tab w:val="left" w:pos="1080"/>
                <w:tab w:val="left" w:pos="1440"/>
                <w:tab w:val="left" w:pos="1800"/>
                <w:tab w:val="left" w:pos="2160"/>
              </w:tabs>
              <w:jc w:val="center"/>
              <w:rPr>
                <w:b/>
                <w:snapToGrid w:val="0"/>
                <w:color w:val="000000"/>
                <w:sz w:val="24"/>
              </w:rPr>
            </w:pPr>
          </w:p>
        </w:tc>
        <w:tc>
          <w:tcPr>
            <w:tcW w:w="4320" w:type="dxa"/>
            <w:gridSpan w:val="3"/>
            <w:tcBorders>
              <w:top w:val="single" w:sz="12" w:space="0" w:color="auto"/>
              <w:left w:val="single" w:sz="18" w:space="0" w:color="auto"/>
              <w:bottom w:val="single" w:sz="12" w:space="0" w:color="auto"/>
              <w:right w:val="single" w:sz="12" w:space="0" w:color="auto"/>
            </w:tcBorders>
          </w:tcPr>
          <w:p w:rsidR="00000000" w:rsidRDefault="00C40079">
            <w:pPr>
              <w:tabs>
                <w:tab w:val="left" w:pos="720"/>
                <w:tab w:val="left" w:pos="1080"/>
                <w:tab w:val="left" w:pos="1440"/>
                <w:tab w:val="left" w:pos="1800"/>
                <w:tab w:val="left" w:pos="2160"/>
              </w:tabs>
              <w:jc w:val="center"/>
              <w:rPr>
                <w:b/>
                <w:snapToGrid w:val="0"/>
                <w:color w:val="000000"/>
                <w:sz w:val="24"/>
              </w:rPr>
            </w:pPr>
            <w:r>
              <w:rPr>
                <w:b/>
                <w:snapToGrid w:val="0"/>
                <w:color w:val="000000"/>
                <w:sz w:val="24"/>
              </w:rPr>
              <w:t>TOTAL OF ALL SECTORS</w:t>
            </w:r>
          </w:p>
        </w:tc>
      </w:tr>
      <w:tr w:rsidR="00000000">
        <w:tblPrEx>
          <w:tblCellMar>
            <w:top w:w="0" w:type="dxa"/>
            <w:bottom w:w="0" w:type="dxa"/>
          </w:tblCellMar>
        </w:tblPrEx>
        <w:trPr>
          <w:trHeight w:val="266"/>
        </w:trPr>
        <w:tc>
          <w:tcPr>
            <w:tcW w:w="2160" w:type="dxa"/>
            <w:tcBorders>
              <w:top w:val="single" w:sz="12" w:space="0" w:color="auto"/>
              <w:left w:val="single" w:sz="12" w:space="0" w:color="auto"/>
              <w:bottom w:val="single" w:sz="12" w:space="0" w:color="auto"/>
              <w:right w:val="single" w:sz="18" w:space="0" w:color="auto"/>
            </w:tcBorders>
          </w:tcPr>
          <w:p w:rsidR="00000000" w:rsidRDefault="00C40079">
            <w:pPr>
              <w:tabs>
                <w:tab w:val="left" w:pos="720"/>
                <w:tab w:val="left" w:pos="1080"/>
                <w:tab w:val="left" w:pos="1440"/>
                <w:tab w:val="left" w:pos="1800"/>
                <w:tab w:val="left" w:pos="2160"/>
              </w:tabs>
              <w:rPr>
                <w:b/>
                <w:snapToGrid w:val="0"/>
                <w:color w:val="000000"/>
                <w:sz w:val="24"/>
              </w:rPr>
            </w:pPr>
            <w:r>
              <w:rPr>
                <w:b/>
                <w:snapToGrid w:val="0"/>
                <w:color w:val="000000"/>
                <w:sz w:val="24"/>
              </w:rPr>
              <w:t>COUNTY</w:t>
            </w:r>
          </w:p>
        </w:tc>
        <w:tc>
          <w:tcPr>
            <w:tcW w:w="1890" w:type="dxa"/>
            <w:tcBorders>
              <w:top w:val="single" w:sz="12" w:space="0" w:color="auto"/>
              <w:left w:val="single" w:sz="18" w:space="0" w:color="auto"/>
              <w:bottom w:val="single" w:sz="12" w:space="0" w:color="auto"/>
              <w:right w:val="single" w:sz="18" w:space="0" w:color="auto"/>
            </w:tcBorders>
          </w:tcPr>
          <w:p w:rsidR="00000000" w:rsidRDefault="00C40079">
            <w:pPr>
              <w:tabs>
                <w:tab w:val="left" w:pos="720"/>
                <w:tab w:val="left" w:pos="1080"/>
                <w:tab w:val="left" w:pos="1440"/>
                <w:tab w:val="left" w:pos="1800"/>
                <w:tab w:val="left" w:pos="2160"/>
              </w:tabs>
              <w:jc w:val="center"/>
              <w:rPr>
                <w:b/>
                <w:snapToGrid w:val="0"/>
                <w:color w:val="000000"/>
                <w:sz w:val="24"/>
              </w:rPr>
            </w:pPr>
            <w:r>
              <w:rPr>
                <w:b/>
                <w:snapToGrid w:val="0"/>
                <w:color w:val="000000"/>
                <w:sz w:val="24"/>
              </w:rPr>
              <w:t>(2009-2002)/</w:t>
            </w:r>
            <w:r>
              <w:rPr>
                <w:b/>
                <w:snapToGrid w:val="0"/>
                <w:color w:val="000000"/>
                <w:sz w:val="24"/>
              </w:rPr>
              <w:t>2002</w:t>
            </w:r>
          </w:p>
        </w:tc>
        <w:tc>
          <w:tcPr>
            <w:tcW w:w="1350" w:type="dxa"/>
            <w:tcBorders>
              <w:top w:val="single" w:sz="12" w:space="0" w:color="auto"/>
              <w:left w:val="single" w:sz="18" w:space="0" w:color="auto"/>
              <w:bottom w:val="single" w:sz="12" w:space="0" w:color="auto"/>
              <w:right w:val="single" w:sz="6" w:space="0" w:color="auto"/>
            </w:tcBorders>
          </w:tcPr>
          <w:p w:rsidR="00000000" w:rsidRDefault="00C40079">
            <w:pPr>
              <w:tabs>
                <w:tab w:val="left" w:pos="720"/>
                <w:tab w:val="left" w:pos="1080"/>
                <w:tab w:val="left" w:pos="1440"/>
                <w:tab w:val="left" w:pos="1800"/>
                <w:tab w:val="left" w:pos="2160"/>
              </w:tabs>
              <w:jc w:val="center"/>
              <w:rPr>
                <w:b/>
                <w:snapToGrid w:val="0"/>
                <w:color w:val="000000"/>
                <w:sz w:val="24"/>
              </w:rPr>
            </w:pPr>
            <w:r>
              <w:rPr>
                <w:b/>
                <w:snapToGrid w:val="0"/>
                <w:color w:val="000000"/>
                <w:sz w:val="24"/>
              </w:rPr>
              <w:t>2002</w:t>
            </w:r>
          </w:p>
        </w:tc>
        <w:tc>
          <w:tcPr>
            <w:tcW w:w="1350" w:type="dxa"/>
            <w:tcBorders>
              <w:top w:val="single" w:sz="12" w:space="0" w:color="auto"/>
              <w:left w:val="single" w:sz="6" w:space="0" w:color="auto"/>
              <w:bottom w:val="single" w:sz="12" w:space="0" w:color="auto"/>
              <w:right w:val="single" w:sz="6" w:space="0" w:color="auto"/>
            </w:tcBorders>
          </w:tcPr>
          <w:p w:rsidR="00000000" w:rsidRDefault="00C40079">
            <w:pPr>
              <w:tabs>
                <w:tab w:val="left" w:pos="720"/>
                <w:tab w:val="left" w:pos="1080"/>
                <w:tab w:val="left" w:pos="1440"/>
                <w:tab w:val="left" w:pos="1800"/>
                <w:tab w:val="left" w:pos="2160"/>
              </w:tabs>
              <w:jc w:val="center"/>
              <w:rPr>
                <w:b/>
                <w:snapToGrid w:val="0"/>
                <w:color w:val="000000"/>
                <w:sz w:val="24"/>
              </w:rPr>
            </w:pPr>
            <w:r>
              <w:rPr>
                <w:b/>
                <w:snapToGrid w:val="0"/>
                <w:color w:val="000000"/>
                <w:sz w:val="24"/>
              </w:rPr>
              <w:t>2009</w:t>
            </w:r>
          </w:p>
        </w:tc>
        <w:tc>
          <w:tcPr>
            <w:tcW w:w="1620" w:type="dxa"/>
            <w:tcBorders>
              <w:top w:val="single" w:sz="12" w:space="0" w:color="auto"/>
              <w:left w:val="single" w:sz="6" w:space="0" w:color="auto"/>
              <w:bottom w:val="single" w:sz="12" w:space="0" w:color="auto"/>
              <w:right w:val="single" w:sz="12" w:space="0" w:color="auto"/>
            </w:tcBorders>
          </w:tcPr>
          <w:p w:rsidR="00000000" w:rsidRDefault="00C40079">
            <w:pPr>
              <w:tabs>
                <w:tab w:val="left" w:pos="720"/>
                <w:tab w:val="left" w:pos="1080"/>
                <w:tab w:val="left" w:pos="1440"/>
                <w:tab w:val="left" w:pos="1800"/>
                <w:tab w:val="left" w:pos="2160"/>
              </w:tabs>
              <w:jc w:val="center"/>
              <w:rPr>
                <w:b/>
                <w:snapToGrid w:val="0"/>
                <w:color w:val="000000"/>
                <w:sz w:val="24"/>
              </w:rPr>
            </w:pPr>
            <w:r>
              <w:rPr>
                <w:b/>
                <w:snapToGrid w:val="0"/>
                <w:color w:val="000000"/>
                <w:sz w:val="24"/>
              </w:rPr>
              <w:t>2009-2002</w:t>
            </w:r>
          </w:p>
        </w:tc>
      </w:tr>
      <w:tr w:rsidR="00000000">
        <w:tblPrEx>
          <w:tblCellMar>
            <w:top w:w="0" w:type="dxa"/>
            <w:bottom w:w="0" w:type="dxa"/>
          </w:tblCellMar>
        </w:tblPrEx>
        <w:trPr>
          <w:trHeight w:val="253"/>
        </w:trPr>
        <w:tc>
          <w:tcPr>
            <w:tcW w:w="2160" w:type="dxa"/>
            <w:tcBorders>
              <w:top w:val="single" w:sz="12" w:space="0" w:color="auto"/>
              <w:left w:val="single" w:sz="12" w:space="0" w:color="auto"/>
              <w:bottom w:val="single" w:sz="6" w:space="0" w:color="auto"/>
              <w:right w:val="single" w:sz="18" w:space="0" w:color="auto"/>
            </w:tcBorders>
          </w:tcPr>
          <w:p w:rsidR="00000000" w:rsidRDefault="00C40079">
            <w:pPr>
              <w:tabs>
                <w:tab w:val="left" w:pos="720"/>
                <w:tab w:val="left" w:pos="1080"/>
                <w:tab w:val="left" w:pos="1440"/>
                <w:tab w:val="left" w:pos="1800"/>
                <w:tab w:val="left" w:pos="2160"/>
              </w:tabs>
              <w:rPr>
                <w:snapToGrid w:val="0"/>
                <w:color w:val="000000"/>
                <w:sz w:val="24"/>
              </w:rPr>
            </w:pPr>
            <w:r>
              <w:rPr>
                <w:snapToGrid w:val="0"/>
                <w:color w:val="000000"/>
                <w:sz w:val="24"/>
              </w:rPr>
              <w:t>BERGEN</w:t>
            </w:r>
          </w:p>
        </w:tc>
        <w:tc>
          <w:tcPr>
            <w:tcW w:w="1890" w:type="dxa"/>
            <w:tcBorders>
              <w:top w:val="single" w:sz="12" w:space="0" w:color="auto"/>
              <w:left w:val="single" w:sz="18" w:space="0" w:color="auto"/>
              <w:bottom w:val="single" w:sz="6" w:space="0" w:color="auto"/>
              <w:right w:val="single" w:sz="18" w:space="0" w:color="auto"/>
            </w:tcBorders>
          </w:tcPr>
          <w:p w:rsidR="00000000" w:rsidRDefault="00C40079">
            <w:pPr>
              <w:jc w:val="right"/>
              <w:rPr>
                <w:snapToGrid w:val="0"/>
                <w:color w:val="000000"/>
                <w:sz w:val="24"/>
              </w:rPr>
            </w:pPr>
            <w:r>
              <w:rPr>
                <w:snapToGrid w:val="0"/>
                <w:color w:val="000000"/>
                <w:sz w:val="24"/>
              </w:rPr>
              <w:t>-10.0%</w:t>
            </w:r>
          </w:p>
        </w:tc>
        <w:tc>
          <w:tcPr>
            <w:tcW w:w="1350" w:type="dxa"/>
            <w:tcBorders>
              <w:top w:val="single" w:sz="12" w:space="0" w:color="auto"/>
              <w:left w:val="single" w:sz="18"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1,540</w:t>
            </w:r>
          </w:p>
        </w:tc>
        <w:tc>
          <w:tcPr>
            <w:tcW w:w="1350" w:type="dxa"/>
            <w:tcBorders>
              <w:top w:val="single" w:sz="12" w:space="0" w:color="auto"/>
              <w:left w:val="single" w:sz="6"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1,385</w:t>
            </w:r>
          </w:p>
        </w:tc>
        <w:tc>
          <w:tcPr>
            <w:tcW w:w="1620" w:type="dxa"/>
            <w:tcBorders>
              <w:top w:val="single" w:sz="12" w:space="0" w:color="auto"/>
              <w:left w:val="single" w:sz="6" w:space="0" w:color="auto"/>
              <w:bottom w:val="single" w:sz="6" w:space="0" w:color="auto"/>
              <w:right w:val="single" w:sz="12" w:space="0" w:color="auto"/>
            </w:tcBorders>
          </w:tcPr>
          <w:p w:rsidR="00000000" w:rsidRDefault="00C40079">
            <w:pPr>
              <w:jc w:val="right"/>
              <w:rPr>
                <w:snapToGrid w:val="0"/>
                <w:color w:val="000000"/>
                <w:sz w:val="24"/>
              </w:rPr>
            </w:pPr>
            <w:r>
              <w:rPr>
                <w:snapToGrid w:val="0"/>
                <w:color w:val="000000"/>
                <w:sz w:val="24"/>
              </w:rPr>
              <w:t>-155</w:t>
            </w:r>
          </w:p>
        </w:tc>
      </w:tr>
      <w:tr w:rsidR="00000000">
        <w:tblPrEx>
          <w:tblCellMar>
            <w:top w:w="0" w:type="dxa"/>
            <w:bottom w:w="0" w:type="dxa"/>
          </w:tblCellMar>
        </w:tblPrEx>
        <w:trPr>
          <w:trHeight w:val="253"/>
        </w:trPr>
        <w:tc>
          <w:tcPr>
            <w:tcW w:w="2160" w:type="dxa"/>
            <w:tcBorders>
              <w:top w:val="single" w:sz="6" w:space="0" w:color="auto"/>
              <w:left w:val="single" w:sz="12" w:space="0" w:color="auto"/>
              <w:bottom w:val="single" w:sz="6" w:space="0" w:color="auto"/>
              <w:right w:val="single" w:sz="18" w:space="0" w:color="auto"/>
            </w:tcBorders>
          </w:tcPr>
          <w:p w:rsidR="00000000" w:rsidRDefault="00C40079">
            <w:pPr>
              <w:tabs>
                <w:tab w:val="left" w:pos="720"/>
                <w:tab w:val="left" w:pos="1080"/>
                <w:tab w:val="left" w:pos="1440"/>
                <w:tab w:val="left" w:pos="1800"/>
                <w:tab w:val="left" w:pos="2160"/>
              </w:tabs>
              <w:rPr>
                <w:snapToGrid w:val="0"/>
                <w:color w:val="000000"/>
                <w:sz w:val="24"/>
              </w:rPr>
            </w:pPr>
            <w:r>
              <w:rPr>
                <w:snapToGrid w:val="0"/>
                <w:color w:val="000000"/>
                <w:sz w:val="24"/>
              </w:rPr>
              <w:t>ESSEX</w:t>
            </w:r>
          </w:p>
        </w:tc>
        <w:tc>
          <w:tcPr>
            <w:tcW w:w="1890" w:type="dxa"/>
            <w:tcBorders>
              <w:top w:val="single" w:sz="6" w:space="0" w:color="auto"/>
              <w:left w:val="single" w:sz="18" w:space="0" w:color="auto"/>
              <w:bottom w:val="single" w:sz="6" w:space="0" w:color="auto"/>
              <w:right w:val="single" w:sz="18" w:space="0" w:color="auto"/>
            </w:tcBorders>
          </w:tcPr>
          <w:p w:rsidR="00000000" w:rsidRDefault="00C40079">
            <w:pPr>
              <w:jc w:val="right"/>
              <w:rPr>
                <w:snapToGrid w:val="0"/>
                <w:color w:val="000000"/>
                <w:sz w:val="24"/>
              </w:rPr>
            </w:pPr>
            <w:r>
              <w:rPr>
                <w:snapToGrid w:val="0"/>
                <w:color w:val="000000"/>
                <w:sz w:val="24"/>
              </w:rPr>
              <w:t>-9.2%</w:t>
            </w:r>
          </w:p>
        </w:tc>
        <w:tc>
          <w:tcPr>
            <w:tcW w:w="1350" w:type="dxa"/>
            <w:tcBorders>
              <w:top w:val="single" w:sz="6" w:space="0" w:color="auto"/>
              <w:left w:val="single" w:sz="18"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1,280</w:t>
            </w:r>
          </w:p>
        </w:tc>
        <w:tc>
          <w:tcPr>
            <w:tcW w:w="1350" w:type="dxa"/>
            <w:tcBorders>
              <w:top w:val="single" w:sz="6" w:space="0" w:color="auto"/>
              <w:left w:val="single" w:sz="6"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1,162</w:t>
            </w:r>
          </w:p>
        </w:tc>
        <w:tc>
          <w:tcPr>
            <w:tcW w:w="1620" w:type="dxa"/>
            <w:tcBorders>
              <w:top w:val="single" w:sz="6" w:space="0" w:color="auto"/>
              <w:left w:val="single" w:sz="6" w:space="0" w:color="auto"/>
              <w:bottom w:val="single" w:sz="6" w:space="0" w:color="auto"/>
              <w:right w:val="single" w:sz="12" w:space="0" w:color="auto"/>
            </w:tcBorders>
          </w:tcPr>
          <w:p w:rsidR="00000000" w:rsidRDefault="00C40079">
            <w:pPr>
              <w:jc w:val="right"/>
              <w:rPr>
                <w:snapToGrid w:val="0"/>
                <w:color w:val="000000"/>
                <w:sz w:val="24"/>
              </w:rPr>
            </w:pPr>
            <w:r>
              <w:rPr>
                <w:snapToGrid w:val="0"/>
                <w:color w:val="000000"/>
                <w:sz w:val="24"/>
              </w:rPr>
              <w:t>-117</w:t>
            </w:r>
          </w:p>
        </w:tc>
      </w:tr>
      <w:tr w:rsidR="00000000">
        <w:tblPrEx>
          <w:tblCellMar>
            <w:top w:w="0" w:type="dxa"/>
            <w:bottom w:w="0" w:type="dxa"/>
          </w:tblCellMar>
        </w:tblPrEx>
        <w:trPr>
          <w:trHeight w:val="253"/>
        </w:trPr>
        <w:tc>
          <w:tcPr>
            <w:tcW w:w="2160" w:type="dxa"/>
            <w:tcBorders>
              <w:top w:val="single" w:sz="6" w:space="0" w:color="auto"/>
              <w:left w:val="single" w:sz="12" w:space="0" w:color="auto"/>
              <w:bottom w:val="single" w:sz="6" w:space="0" w:color="auto"/>
              <w:right w:val="single" w:sz="18" w:space="0" w:color="auto"/>
            </w:tcBorders>
          </w:tcPr>
          <w:p w:rsidR="00000000" w:rsidRDefault="00C40079">
            <w:pPr>
              <w:tabs>
                <w:tab w:val="left" w:pos="720"/>
                <w:tab w:val="left" w:pos="1080"/>
                <w:tab w:val="left" w:pos="1440"/>
                <w:tab w:val="left" w:pos="1800"/>
                <w:tab w:val="left" w:pos="2160"/>
              </w:tabs>
              <w:rPr>
                <w:snapToGrid w:val="0"/>
                <w:color w:val="000000"/>
                <w:sz w:val="24"/>
              </w:rPr>
            </w:pPr>
            <w:r>
              <w:rPr>
                <w:snapToGrid w:val="0"/>
                <w:color w:val="000000"/>
                <w:sz w:val="24"/>
              </w:rPr>
              <w:t>HUDSON</w:t>
            </w:r>
          </w:p>
        </w:tc>
        <w:tc>
          <w:tcPr>
            <w:tcW w:w="1890" w:type="dxa"/>
            <w:tcBorders>
              <w:top w:val="single" w:sz="6" w:space="0" w:color="auto"/>
              <w:left w:val="single" w:sz="18" w:space="0" w:color="auto"/>
              <w:bottom w:val="single" w:sz="6" w:space="0" w:color="auto"/>
              <w:right w:val="single" w:sz="18" w:space="0" w:color="auto"/>
            </w:tcBorders>
          </w:tcPr>
          <w:p w:rsidR="00000000" w:rsidRDefault="00C40079">
            <w:pPr>
              <w:jc w:val="right"/>
              <w:rPr>
                <w:snapToGrid w:val="0"/>
                <w:color w:val="000000"/>
                <w:sz w:val="24"/>
              </w:rPr>
            </w:pPr>
            <w:r>
              <w:rPr>
                <w:snapToGrid w:val="0"/>
                <w:color w:val="000000"/>
                <w:sz w:val="24"/>
              </w:rPr>
              <w:t>-4.4%</w:t>
            </w:r>
          </w:p>
        </w:tc>
        <w:tc>
          <w:tcPr>
            <w:tcW w:w="1350" w:type="dxa"/>
            <w:tcBorders>
              <w:top w:val="single" w:sz="6" w:space="0" w:color="auto"/>
              <w:left w:val="single" w:sz="18"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1,825</w:t>
            </w:r>
          </w:p>
        </w:tc>
        <w:tc>
          <w:tcPr>
            <w:tcW w:w="1350" w:type="dxa"/>
            <w:tcBorders>
              <w:top w:val="single" w:sz="6" w:space="0" w:color="auto"/>
              <w:left w:val="single" w:sz="6"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1,746</w:t>
            </w:r>
          </w:p>
        </w:tc>
        <w:tc>
          <w:tcPr>
            <w:tcW w:w="1620" w:type="dxa"/>
            <w:tcBorders>
              <w:top w:val="single" w:sz="6" w:space="0" w:color="auto"/>
              <w:left w:val="single" w:sz="6" w:space="0" w:color="auto"/>
              <w:bottom w:val="single" w:sz="6" w:space="0" w:color="auto"/>
              <w:right w:val="single" w:sz="12" w:space="0" w:color="auto"/>
            </w:tcBorders>
          </w:tcPr>
          <w:p w:rsidR="00000000" w:rsidRDefault="00C40079">
            <w:pPr>
              <w:jc w:val="right"/>
              <w:rPr>
                <w:snapToGrid w:val="0"/>
                <w:color w:val="000000"/>
                <w:sz w:val="24"/>
              </w:rPr>
            </w:pPr>
            <w:r>
              <w:rPr>
                <w:snapToGrid w:val="0"/>
                <w:color w:val="000000"/>
                <w:sz w:val="24"/>
              </w:rPr>
              <w:t>-80</w:t>
            </w:r>
          </w:p>
        </w:tc>
      </w:tr>
      <w:tr w:rsidR="00000000">
        <w:tblPrEx>
          <w:tblCellMar>
            <w:top w:w="0" w:type="dxa"/>
            <w:bottom w:w="0" w:type="dxa"/>
          </w:tblCellMar>
        </w:tblPrEx>
        <w:trPr>
          <w:trHeight w:val="253"/>
        </w:trPr>
        <w:tc>
          <w:tcPr>
            <w:tcW w:w="2160" w:type="dxa"/>
            <w:tcBorders>
              <w:top w:val="single" w:sz="6" w:space="0" w:color="auto"/>
              <w:left w:val="single" w:sz="12" w:space="0" w:color="auto"/>
              <w:bottom w:val="single" w:sz="6" w:space="0" w:color="auto"/>
              <w:right w:val="single" w:sz="18" w:space="0" w:color="auto"/>
            </w:tcBorders>
          </w:tcPr>
          <w:p w:rsidR="00000000" w:rsidRDefault="00C40079">
            <w:pPr>
              <w:tabs>
                <w:tab w:val="left" w:pos="720"/>
                <w:tab w:val="left" w:pos="1080"/>
                <w:tab w:val="left" w:pos="1440"/>
                <w:tab w:val="left" w:pos="1800"/>
                <w:tab w:val="left" w:pos="2160"/>
              </w:tabs>
              <w:rPr>
                <w:snapToGrid w:val="0"/>
                <w:color w:val="000000"/>
                <w:sz w:val="24"/>
              </w:rPr>
            </w:pPr>
            <w:r>
              <w:rPr>
                <w:snapToGrid w:val="0"/>
                <w:color w:val="000000"/>
                <w:sz w:val="24"/>
              </w:rPr>
              <w:t>MERCER</w:t>
            </w:r>
          </w:p>
        </w:tc>
        <w:tc>
          <w:tcPr>
            <w:tcW w:w="1890" w:type="dxa"/>
            <w:tcBorders>
              <w:top w:val="single" w:sz="6" w:space="0" w:color="auto"/>
              <w:left w:val="single" w:sz="18" w:space="0" w:color="auto"/>
              <w:bottom w:val="single" w:sz="6" w:space="0" w:color="auto"/>
              <w:right w:val="single" w:sz="18" w:space="0" w:color="auto"/>
            </w:tcBorders>
          </w:tcPr>
          <w:p w:rsidR="00000000" w:rsidRDefault="00C40079">
            <w:pPr>
              <w:jc w:val="right"/>
              <w:rPr>
                <w:snapToGrid w:val="0"/>
                <w:color w:val="000000"/>
                <w:sz w:val="24"/>
              </w:rPr>
            </w:pPr>
            <w:r>
              <w:rPr>
                <w:snapToGrid w:val="0"/>
                <w:color w:val="000000"/>
                <w:sz w:val="24"/>
              </w:rPr>
              <w:t>-3.4%</w:t>
            </w:r>
          </w:p>
        </w:tc>
        <w:tc>
          <w:tcPr>
            <w:tcW w:w="1350" w:type="dxa"/>
            <w:tcBorders>
              <w:top w:val="single" w:sz="6" w:space="0" w:color="auto"/>
              <w:left w:val="single" w:sz="18"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1,062</w:t>
            </w:r>
          </w:p>
        </w:tc>
        <w:tc>
          <w:tcPr>
            <w:tcW w:w="1350" w:type="dxa"/>
            <w:tcBorders>
              <w:top w:val="single" w:sz="6" w:space="0" w:color="auto"/>
              <w:left w:val="single" w:sz="6"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1,026</w:t>
            </w:r>
          </w:p>
        </w:tc>
        <w:tc>
          <w:tcPr>
            <w:tcW w:w="1620" w:type="dxa"/>
            <w:tcBorders>
              <w:top w:val="single" w:sz="6" w:space="0" w:color="auto"/>
              <w:left w:val="single" w:sz="6" w:space="0" w:color="auto"/>
              <w:bottom w:val="single" w:sz="6" w:space="0" w:color="auto"/>
              <w:right w:val="single" w:sz="12" w:space="0" w:color="auto"/>
            </w:tcBorders>
          </w:tcPr>
          <w:p w:rsidR="00000000" w:rsidRDefault="00C40079">
            <w:pPr>
              <w:jc w:val="right"/>
              <w:rPr>
                <w:snapToGrid w:val="0"/>
                <w:color w:val="000000"/>
                <w:sz w:val="24"/>
              </w:rPr>
            </w:pPr>
            <w:r>
              <w:rPr>
                <w:snapToGrid w:val="0"/>
                <w:color w:val="000000"/>
                <w:sz w:val="24"/>
              </w:rPr>
              <w:t>-36</w:t>
            </w:r>
          </w:p>
        </w:tc>
      </w:tr>
      <w:tr w:rsidR="00000000">
        <w:tblPrEx>
          <w:tblCellMar>
            <w:top w:w="0" w:type="dxa"/>
            <w:bottom w:w="0" w:type="dxa"/>
          </w:tblCellMar>
        </w:tblPrEx>
        <w:trPr>
          <w:trHeight w:val="253"/>
        </w:trPr>
        <w:tc>
          <w:tcPr>
            <w:tcW w:w="2160" w:type="dxa"/>
            <w:tcBorders>
              <w:top w:val="single" w:sz="6" w:space="0" w:color="auto"/>
              <w:left w:val="single" w:sz="12" w:space="0" w:color="auto"/>
              <w:bottom w:val="single" w:sz="6" w:space="0" w:color="auto"/>
              <w:right w:val="single" w:sz="18" w:space="0" w:color="auto"/>
            </w:tcBorders>
          </w:tcPr>
          <w:p w:rsidR="00000000" w:rsidRDefault="00C40079">
            <w:pPr>
              <w:tabs>
                <w:tab w:val="left" w:pos="720"/>
                <w:tab w:val="left" w:pos="1080"/>
                <w:tab w:val="left" w:pos="1440"/>
                <w:tab w:val="left" w:pos="1800"/>
                <w:tab w:val="left" w:pos="2160"/>
              </w:tabs>
              <w:rPr>
                <w:snapToGrid w:val="0"/>
                <w:color w:val="000000"/>
                <w:sz w:val="24"/>
              </w:rPr>
            </w:pPr>
            <w:r>
              <w:rPr>
                <w:snapToGrid w:val="0"/>
                <w:color w:val="000000"/>
                <w:sz w:val="24"/>
              </w:rPr>
              <w:t>MIDDLESEX</w:t>
            </w:r>
          </w:p>
        </w:tc>
        <w:tc>
          <w:tcPr>
            <w:tcW w:w="1890" w:type="dxa"/>
            <w:tcBorders>
              <w:top w:val="single" w:sz="6" w:space="0" w:color="auto"/>
              <w:left w:val="single" w:sz="18" w:space="0" w:color="auto"/>
              <w:bottom w:val="single" w:sz="6" w:space="0" w:color="auto"/>
              <w:right w:val="single" w:sz="18" w:space="0" w:color="auto"/>
            </w:tcBorders>
          </w:tcPr>
          <w:p w:rsidR="00000000" w:rsidRDefault="00C40079">
            <w:pPr>
              <w:jc w:val="right"/>
              <w:rPr>
                <w:snapToGrid w:val="0"/>
                <w:color w:val="000000"/>
                <w:sz w:val="24"/>
              </w:rPr>
            </w:pPr>
            <w:r>
              <w:rPr>
                <w:snapToGrid w:val="0"/>
                <w:color w:val="000000"/>
                <w:sz w:val="24"/>
              </w:rPr>
              <w:t>-5.3%</w:t>
            </w:r>
          </w:p>
        </w:tc>
        <w:tc>
          <w:tcPr>
            <w:tcW w:w="1350" w:type="dxa"/>
            <w:tcBorders>
              <w:top w:val="single" w:sz="6" w:space="0" w:color="auto"/>
              <w:left w:val="single" w:sz="18"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1,643</w:t>
            </w:r>
          </w:p>
        </w:tc>
        <w:tc>
          <w:tcPr>
            <w:tcW w:w="1350" w:type="dxa"/>
            <w:tcBorders>
              <w:top w:val="single" w:sz="6" w:space="0" w:color="auto"/>
              <w:left w:val="single" w:sz="6"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1,556</w:t>
            </w:r>
          </w:p>
        </w:tc>
        <w:tc>
          <w:tcPr>
            <w:tcW w:w="1620" w:type="dxa"/>
            <w:tcBorders>
              <w:top w:val="single" w:sz="6" w:space="0" w:color="auto"/>
              <w:left w:val="single" w:sz="6" w:space="0" w:color="auto"/>
              <w:bottom w:val="single" w:sz="6" w:space="0" w:color="auto"/>
              <w:right w:val="single" w:sz="12" w:space="0" w:color="auto"/>
            </w:tcBorders>
          </w:tcPr>
          <w:p w:rsidR="00000000" w:rsidRDefault="00C40079">
            <w:pPr>
              <w:jc w:val="right"/>
              <w:rPr>
                <w:snapToGrid w:val="0"/>
                <w:color w:val="000000"/>
                <w:sz w:val="24"/>
              </w:rPr>
            </w:pPr>
            <w:r>
              <w:rPr>
                <w:snapToGrid w:val="0"/>
                <w:color w:val="000000"/>
                <w:sz w:val="24"/>
              </w:rPr>
              <w:t>-87</w:t>
            </w:r>
          </w:p>
        </w:tc>
      </w:tr>
      <w:tr w:rsidR="00000000">
        <w:tblPrEx>
          <w:tblCellMar>
            <w:top w:w="0" w:type="dxa"/>
            <w:bottom w:w="0" w:type="dxa"/>
          </w:tblCellMar>
        </w:tblPrEx>
        <w:trPr>
          <w:trHeight w:val="253"/>
        </w:trPr>
        <w:tc>
          <w:tcPr>
            <w:tcW w:w="2160" w:type="dxa"/>
            <w:tcBorders>
              <w:top w:val="single" w:sz="6" w:space="0" w:color="auto"/>
              <w:left w:val="single" w:sz="12" w:space="0" w:color="auto"/>
              <w:bottom w:val="single" w:sz="6" w:space="0" w:color="auto"/>
              <w:right w:val="single" w:sz="18" w:space="0" w:color="auto"/>
            </w:tcBorders>
          </w:tcPr>
          <w:p w:rsidR="00000000" w:rsidRDefault="00C40079">
            <w:pPr>
              <w:tabs>
                <w:tab w:val="left" w:pos="720"/>
                <w:tab w:val="left" w:pos="1080"/>
                <w:tab w:val="left" w:pos="1440"/>
                <w:tab w:val="left" w:pos="1800"/>
                <w:tab w:val="left" w:pos="2160"/>
              </w:tabs>
              <w:rPr>
                <w:snapToGrid w:val="0"/>
                <w:color w:val="000000"/>
                <w:sz w:val="24"/>
              </w:rPr>
            </w:pPr>
            <w:r>
              <w:rPr>
                <w:snapToGrid w:val="0"/>
                <w:color w:val="000000"/>
                <w:sz w:val="24"/>
              </w:rPr>
              <w:t>MONMOUTH</w:t>
            </w:r>
          </w:p>
        </w:tc>
        <w:tc>
          <w:tcPr>
            <w:tcW w:w="1890" w:type="dxa"/>
            <w:tcBorders>
              <w:top w:val="single" w:sz="6" w:space="0" w:color="auto"/>
              <w:left w:val="single" w:sz="18" w:space="0" w:color="auto"/>
              <w:bottom w:val="single" w:sz="6" w:space="0" w:color="auto"/>
              <w:right w:val="single" w:sz="18" w:space="0" w:color="auto"/>
            </w:tcBorders>
          </w:tcPr>
          <w:p w:rsidR="00000000" w:rsidRDefault="00C40079">
            <w:pPr>
              <w:jc w:val="right"/>
              <w:rPr>
                <w:snapToGrid w:val="0"/>
                <w:color w:val="000000"/>
                <w:sz w:val="24"/>
              </w:rPr>
            </w:pPr>
            <w:r>
              <w:rPr>
                <w:snapToGrid w:val="0"/>
                <w:color w:val="000000"/>
                <w:sz w:val="24"/>
              </w:rPr>
              <w:t>-8.1%</w:t>
            </w:r>
          </w:p>
        </w:tc>
        <w:tc>
          <w:tcPr>
            <w:tcW w:w="1350" w:type="dxa"/>
            <w:tcBorders>
              <w:top w:val="single" w:sz="6" w:space="0" w:color="auto"/>
              <w:left w:val="single" w:sz="18"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1,781</w:t>
            </w:r>
          </w:p>
        </w:tc>
        <w:tc>
          <w:tcPr>
            <w:tcW w:w="1350" w:type="dxa"/>
            <w:tcBorders>
              <w:top w:val="single" w:sz="6" w:space="0" w:color="auto"/>
              <w:left w:val="single" w:sz="6"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1,639</w:t>
            </w:r>
          </w:p>
        </w:tc>
        <w:tc>
          <w:tcPr>
            <w:tcW w:w="1620" w:type="dxa"/>
            <w:tcBorders>
              <w:top w:val="single" w:sz="6" w:space="0" w:color="auto"/>
              <w:left w:val="single" w:sz="6" w:space="0" w:color="auto"/>
              <w:bottom w:val="single" w:sz="6" w:space="0" w:color="auto"/>
              <w:right w:val="single" w:sz="12" w:space="0" w:color="auto"/>
            </w:tcBorders>
          </w:tcPr>
          <w:p w:rsidR="00000000" w:rsidRDefault="00C40079">
            <w:pPr>
              <w:jc w:val="right"/>
              <w:rPr>
                <w:snapToGrid w:val="0"/>
                <w:color w:val="000000"/>
                <w:sz w:val="24"/>
              </w:rPr>
            </w:pPr>
            <w:r>
              <w:rPr>
                <w:snapToGrid w:val="0"/>
                <w:color w:val="000000"/>
                <w:sz w:val="24"/>
              </w:rPr>
              <w:t>-144</w:t>
            </w:r>
          </w:p>
        </w:tc>
      </w:tr>
      <w:tr w:rsidR="00000000">
        <w:tblPrEx>
          <w:tblCellMar>
            <w:top w:w="0" w:type="dxa"/>
            <w:bottom w:w="0" w:type="dxa"/>
          </w:tblCellMar>
        </w:tblPrEx>
        <w:trPr>
          <w:trHeight w:val="253"/>
        </w:trPr>
        <w:tc>
          <w:tcPr>
            <w:tcW w:w="2160" w:type="dxa"/>
            <w:tcBorders>
              <w:top w:val="single" w:sz="6" w:space="0" w:color="auto"/>
              <w:left w:val="single" w:sz="12" w:space="0" w:color="auto"/>
              <w:bottom w:val="single" w:sz="6" w:space="0" w:color="auto"/>
              <w:right w:val="single" w:sz="18" w:space="0" w:color="auto"/>
            </w:tcBorders>
          </w:tcPr>
          <w:p w:rsidR="00000000" w:rsidRDefault="00C40079">
            <w:pPr>
              <w:tabs>
                <w:tab w:val="left" w:pos="720"/>
                <w:tab w:val="left" w:pos="1080"/>
                <w:tab w:val="left" w:pos="1440"/>
                <w:tab w:val="left" w:pos="1800"/>
                <w:tab w:val="left" w:pos="2160"/>
              </w:tabs>
              <w:rPr>
                <w:snapToGrid w:val="0"/>
                <w:color w:val="000000"/>
                <w:sz w:val="24"/>
              </w:rPr>
            </w:pPr>
            <w:r>
              <w:rPr>
                <w:snapToGrid w:val="0"/>
                <w:color w:val="000000"/>
                <w:sz w:val="24"/>
              </w:rPr>
              <w:t>MORRIS</w:t>
            </w:r>
          </w:p>
        </w:tc>
        <w:tc>
          <w:tcPr>
            <w:tcW w:w="1890" w:type="dxa"/>
            <w:tcBorders>
              <w:top w:val="single" w:sz="6" w:space="0" w:color="auto"/>
              <w:left w:val="single" w:sz="18" w:space="0" w:color="auto"/>
              <w:bottom w:val="single" w:sz="6" w:space="0" w:color="auto"/>
              <w:right w:val="single" w:sz="18" w:space="0" w:color="auto"/>
            </w:tcBorders>
          </w:tcPr>
          <w:p w:rsidR="00000000" w:rsidRDefault="00C40079">
            <w:pPr>
              <w:jc w:val="right"/>
              <w:rPr>
                <w:snapToGrid w:val="0"/>
                <w:color w:val="000000"/>
                <w:sz w:val="24"/>
              </w:rPr>
            </w:pPr>
            <w:r>
              <w:rPr>
                <w:snapToGrid w:val="0"/>
                <w:color w:val="000000"/>
                <w:sz w:val="24"/>
              </w:rPr>
              <w:t>-5.1%</w:t>
            </w:r>
          </w:p>
        </w:tc>
        <w:tc>
          <w:tcPr>
            <w:tcW w:w="1350" w:type="dxa"/>
            <w:tcBorders>
              <w:top w:val="single" w:sz="6" w:space="0" w:color="auto"/>
              <w:left w:val="single" w:sz="18"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1,812</w:t>
            </w:r>
          </w:p>
        </w:tc>
        <w:tc>
          <w:tcPr>
            <w:tcW w:w="1350" w:type="dxa"/>
            <w:tcBorders>
              <w:top w:val="single" w:sz="6" w:space="0" w:color="auto"/>
              <w:left w:val="single" w:sz="6"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1,719</w:t>
            </w:r>
          </w:p>
        </w:tc>
        <w:tc>
          <w:tcPr>
            <w:tcW w:w="1620" w:type="dxa"/>
            <w:tcBorders>
              <w:top w:val="single" w:sz="6" w:space="0" w:color="auto"/>
              <w:left w:val="single" w:sz="6" w:space="0" w:color="auto"/>
              <w:bottom w:val="single" w:sz="6" w:space="0" w:color="auto"/>
              <w:right w:val="single" w:sz="12" w:space="0" w:color="auto"/>
            </w:tcBorders>
          </w:tcPr>
          <w:p w:rsidR="00000000" w:rsidRDefault="00C40079">
            <w:pPr>
              <w:jc w:val="right"/>
              <w:rPr>
                <w:snapToGrid w:val="0"/>
                <w:color w:val="000000"/>
                <w:sz w:val="24"/>
              </w:rPr>
            </w:pPr>
            <w:r>
              <w:rPr>
                <w:snapToGrid w:val="0"/>
                <w:color w:val="000000"/>
                <w:sz w:val="24"/>
              </w:rPr>
              <w:t>-93</w:t>
            </w:r>
          </w:p>
        </w:tc>
      </w:tr>
      <w:tr w:rsidR="00000000">
        <w:tblPrEx>
          <w:tblCellMar>
            <w:top w:w="0" w:type="dxa"/>
            <w:bottom w:w="0" w:type="dxa"/>
          </w:tblCellMar>
        </w:tblPrEx>
        <w:trPr>
          <w:trHeight w:val="253"/>
        </w:trPr>
        <w:tc>
          <w:tcPr>
            <w:tcW w:w="2160" w:type="dxa"/>
            <w:tcBorders>
              <w:top w:val="single" w:sz="6" w:space="0" w:color="auto"/>
              <w:left w:val="single" w:sz="12" w:space="0" w:color="auto"/>
              <w:bottom w:val="single" w:sz="6" w:space="0" w:color="auto"/>
              <w:right w:val="single" w:sz="18" w:space="0" w:color="auto"/>
            </w:tcBorders>
          </w:tcPr>
          <w:p w:rsidR="00000000" w:rsidRDefault="00C40079">
            <w:pPr>
              <w:tabs>
                <w:tab w:val="left" w:pos="720"/>
                <w:tab w:val="left" w:pos="1080"/>
                <w:tab w:val="left" w:pos="1440"/>
                <w:tab w:val="left" w:pos="1800"/>
                <w:tab w:val="left" w:pos="2160"/>
              </w:tabs>
              <w:rPr>
                <w:snapToGrid w:val="0"/>
                <w:color w:val="000000"/>
                <w:sz w:val="24"/>
              </w:rPr>
            </w:pPr>
            <w:r>
              <w:rPr>
                <w:snapToGrid w:val="0"/>
                <w:color w:val="000000"/>
                <w:sz w:val="24"/>
              </w:rPr>
              <w:t>PASSAIC</w:t>
            </w:r>
          </w:p>
        </w:tc>
        <w:tc>
          <w:tcPr>
            <w:tcW w:w="1890" w:type="dxa"/>
            <w:tcBorders>
              <w:top w:val="single" w:sz="6" w:space="0" w:color="auto"/>
              <w:left w:val="single" w:sz="18" w:space="0" w:color="auto"/>
              <w:bottom w:val="single" w:sz="6" w:space="0" w:color="auto"/>
              <w:right w:val="single" w:sz="18" w:space="0" w:color="auto"/>
            </w:tcBorders>
          </w:tcPr>
          <w:p w:rsidR="00000000" w:rsidRDefault="00C40079">
            <w:pPr>
              <w:jc w:val="right"/>
              <w:rPr>
                <w:snapToGrid w:val="0"/>
                <w:color w:val="000000"/>
                <w:sz w:val="24"/>
              </w:rPr>
            </w:pPr>
            <w:r>
              <w:rPr>
                <w:snapToGrid w:val="0"/>
                <w:color w:val="000000"/>
                <w:sz w:val="24"/>
              </w:rPr>
              <w:t>-8.3</w:t>
            </w:r>
            <w:r>
              <w:rPr>
                <w:snapToGrid w:val="0"/>
                <w:color w:val="000000"/>
                <w:sz w:val="24"/>
              </w:rPr>
              <w:t>%</w:t>
            </w:r>
          </w:p>
        </w:tc>
        <w:tc>
          <w:tcPr>
            <w:tcW w:w="1350" w:type="dxa"/>
            <w:tcBorders>
              <w:top w:val="single" w:sz="6" w:space="0" w:color="auto"/>
              <w:left w:val="single" w:sz="18"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881</w:t>
            </w:r>
          </w:p>
        </w:tc>
        <w:tc>
          <w:tcPr>
            <w:tcW w:w="1350" w:type="dxa"/>
            <w:tcBorders>
              <w:top w:val="single" w:sz="6" w:space="0" w:color="auto"/>
              <w:left w:val="single" w:sz="6"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808</w:t>
            </w:r>
          </w:p>
        </w:tc>
        <w:tc>
          <w:tcPr>
            <w:tcW w:w="1620" w:type="dxa"/>
            <w:tcBorders>
              <w:top w:val="single" w:sz="6" w:space="0" w:color="auto"/>
              <w:left w:val="single" w:sz="6" w:space="0" w:color="auto"/>
              <w:bottom w:val="single" w:sz="6" w:space="0" w:color="auto"/>
              <w:right w:val="single" w:sz="12" w:space="0" w:color="auto"/>
            </w:tcBorders>
          </w:tcPr>
          <w:p w:rsidR="00000000" w:rsidRDefault="00C40079">
            <w:pPr>
              <w:jc w:val="right"/>
              <w:rPr>
                <w:snapToGrid w:val="0"/>
                <w:color w:val="000000"/>
                <w:sz w:val="24"/>
              </w:rPr>
            </w:pPr>
            <w:r>
              <w:rPr>
                <w:snapToGrid w:val="0"/>
                <w:color w:val="000000"/>
                <w:sz w:val="24"/>
              </w:rPr>
              <w:t>-73</w:t>
            </w:r>
          </w:p>
        </w:tc>
      </w:tr>
      <w:tr w:rsidR="00000000">
        <w:tblPrEx>
          <w:tblCellMar>
            <w:top w:w="0" w:type="dxa"/>
            <w:bottom w:w="0" w:type="dxa"/>
          </w:tblCellMar>
        </w:tblPrEx>
        <w:trPr>
          <w:trHeight w:val="253"/>
        </w:trPr>
        <w:tc>
          <w:tcPr>
            <w:tcW w:w="2160" w:type="dxa"/>
            <w:tcBorders>
              <w:top w:val="single" w:sz="6" w:space="0" w:color="auto"/>
              <w:left w:val="single" w:sz="12" w:space="0" w:color="auto"/>
              <w:bottom w:val="single" w:sz="6" w:space="0" w:color="auto"/>
              <w:right w:val="single" w:sz="18" w:space="0" w:color="auto"/>
            </w:tcBorders>
          </w:tcPr>
          <w:p w:rsidR="00000000" w:rsidRDefault="00C40079">
            <w:pPr>
              <w:tabs>
                <w:tab w:val="left" w:pos="720"/>
                <w:tab w:val="left" w:pos="1080"/>
                <w:tab w:val="left" w:pos="1440"/>
                <w:tab w:val="left" w:pos="1800"/>
                <w:tab w:val="left" w:pos="2160"/>
              </w:tabs>
              <w:rPr>
                <w:snapToGrid w:val="0"/>
                <w:color w:val="000000"/>
                <w:sz w:val="24"/>
              </w:rPr>
            </w:pPr>
            <w:r>
              <w:rPr>
                <w:snapToGrid w:val="0"/>
                <w:color w:val="000000"/>
                <w:sz w:val="24"/>
              </w:rPr>
              <w:t>SOMERSET</w:t>
            </w:r>
          </w:p>
        </w:tc>
        <w:tc>
          <w:tcPr>
            <w:tcW w:w="1890" w:type="dxa"/>
            <w:tcBorders>
              <w:top w:val="single" w:sz="6" w:space="0" w:color="auto"/>
              <w:left w:val="single" w:sz="18" w:space="0" w:color="auto"/>
              <w:bottom w:val="single" w:sz="6" w:space="0" w:color="auto"/>
              <w:right w:val="single" w:sz="18" w:space="0" w:color="auto"/>
            </w:tcBorders>
          </w:tcPr>
          <w:p w:rsidR="00000000" w:rsidRDefault="00C40079">
            <w:pPr>
              <w:jc w:val="right"/>
              <w:rPr>
                <w:snapToGrid w:val="0"/>
                <w:color w:val="000000"/>
                <w:sz w:val="24"/>
              </w:rPr>
            </w:pPr>
            <w:r>
              <w:rPr>
                <w:snapToGrid w:val="0"/>
                <w:color w:val="000000"/>
                <w:sz w:val="24"/>
              </w:rPr>
              <w:t>-8.6%</w:t>
            </w:r>
          </w:p>
        </w:tc>
        <w:tc>
          <w:tcPr>
            <w:tcW w:w="1350" w:type="dxa"/>
            <w:tcBorders>
              <w:top w:val="single" w:sz="6" w:space="0" w:color="auto"/>
              <w:left w:val="single" w:sz="18"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797</w:t>
            </w:r>
          </w:p>
        </w:tc>
        <w:tc>
          <w:tcPr>
            <w:tcW w:w="1350" w:type="dxa"/>
            <w:tcBorders>
              <w:top w:val="single" w:sz="6" w:space="0" w:color="auto"/>
              <w:left w:val="single" w:sz="6"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731</w:t>
            </w:r>
          </w:p>
        </w:tc>
        <w:tc>
          <w:tcPr>
            <w:tcW w:w="1620" w:type="dxa"/>
            <w:tcBorders>
              <w:top w:val="single" w:sz="6" w:space="0" w:color="auto"/>
              <w:left w:val="single" w:sz="6" w:space="0" w:color="auto"/>
              <w:bottom w:val="single" w:sz="6" w:space="0" w:color="auto"/>
              <w:right w:val="single" w:sz="12" w:space="0" w:color="auto"/>
            </w:tcBorders>
          </w:tcPr>
          <w:p w:rsidR="00000000" w:rsidRDefault="00C40079">
            <w:pPr>
              <w:jc w:val="right"/>
              <w:rPr>
                <w:snapToGrid w:val="0"/>
                <w:color w:val="000000"/>
                <w:sz w:val="24"/>
              </w:rPr>
            </w:pPr>
            <w:r>
              <w:rPr>
                <w:snapToGrid w:val="0"/>
                <w:color w:val="000000"/>
                <w:sz w:val="24"/>
              </w:rPr>
              <w:t>-68</w:t>
            </w:r>
          </w:p>
        </w:tc>
      </w:tr>
      <w:tr w:rsidR="00000000">
        <w:tblPrEx>
          <w:tblCellMar>
            <w:top w:w="0" w:type="dxa"/>
            <w:bottom w:w="0" w:type="dxa"/>
          </w:tblCellMar>
        </w:tblPrEx>
        <w:trPr>
          <w:trHeight w:val="253"/>
        </w:trPr>
        <w:tc>
          <w:tcPr>
            <w:tcW w:w="2160" w:type="dxa"/>
            <w:tcBorders>
              <w:top w:val="single" w:sz="6" w:space="0" w:color="auto"/>
              <w:left w:val="single" w:sz="12" w:space="0" w:color="auto"/>
              <w:bottom w:val="single" w:sz="6" w:space="0" w:color="auto"/>
              <w:right w:val="single" w:sz="18" w:space="0" w:color="auto"/>
            </w:tcBorders>
          </w:tcPr>
          <w:p w:rsidR="00000000" w:rsidRDefault="00C40079">
            <w:pPr>
              <w:tabs>
                <w:tab w:val="left" w:pos="720"/>
                <w:tab w:val="left" w:pos="1080"/>
                <w:tab w:val="left" w:pos="1440"/>
                <w:tab w:val="left" w:pos="1800"/>
                <w:tab w:val="left" w:pos="2160"/>
              </w:tabs>
              <w:rPr>
                <w:snapToGrid w:val="0"/>
                <w:color w:val="000000"/>
                <w:sz w:val="24"/>
              </w:rPr>
            </w:pPr>
            <w:r>
              <w:rPr>
                <w:snapToGrid w:val="0"/>
                <w:color w:val="000000"/>
                <w:sz w:val="24"/>
              </w:rPr>
              <w:t>UNION</w:t>
            </w:r>
          </w:p>
        </w:tc>
        <w:tc>
          <w:tcPr>
            <w:tcW w:w="1890" w:type="dxa"/>
            <w:tcBorders>
              <w:top w:val="single" w:sz="6" w:space="0" w:color="auto"/>
              <w:left w:val="single" w:sz="18" w:space="0" w:color="auto"/>
              <w:bottom w:val="single" w:sz="6" w:space="0" w:color="auto"/>
              <w:right w:val="single" w:sz="18" w:space="0" w:color="auto"/>
            </w:tcBorders>
          </w:tcPr>
          <w:p w:rsidR="00000000" w:rsidRDefault="00C40079">
            <w:pPr>
              <w:jc w:val="right"/>
              <w:rPr>
                <w:snapToGrid w:val="0"/>
                <w:color w:val="000000"/>
                <w:sz w:val="24"/>
              </w:rPr>
            </w:pPr>
            <w:r>
              <w:rPr>
                <w:snapToGrid w:val="0"/>
                <w:color w:val="000000"/>
                <w:sz w:val="24"/>
              </w:rPr>
              <w:t>-4.0%</w:t>
            </w:r>
          </w:p>
        </w:tc>
        <w:tc>
          <w:tcPr>
            <w:tcW w:w="1350" w:type="dxa"/>
            <w:tcBorders>
              <w:top w:val="single" w:sz="6" w:space="0" w:color="auto"/>
              <w:left w:val="single" w:sz="18"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1,330</w:t>
            </w:r>
          </w:p>
        </w:tc>
        <w:tc>
          <w:tcPr>
            <w:tcW w:w="1350" w:type="dxa"/>
            <w:tcBorders>
              <w:top w:val="single" w:sz="6" w:space="0" w:color="auto"/>
              <w:left w:val="single" w:sz="6"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1,277</w:t>
            </w:r>
          </w:p>
        </w:tc>
        <w:tc>
          <w:tcPr>
            <w:tcW w:w="1620" w:type="dxa"/>
            <w:tcBorders>
              <w:top w:val="single" w:sz="6" w:space="0" w:color="auto"/>
              <w:left w:val="single" w:sz="6" w:space="0" w:color="auto"/>
              <w:bottom w:val="single" w:sz="6" w:space="0" w:color="auto"/>
              <w:right w:val="single" w:sz="12" w:space="0" w:color="auto"/>
            </w:tcBorders>
          </w:tcPr>
          <w:p w:rsidR="00000000" w:rsidRDefault="00C40079">
            <w:pPr>
              <w:jc w:val="right"/>
              <w:rPr>
                <w:snapToGrid w:val="0"/>
                <w:color w:val="000000"/>
                <w:sz w:val="24"/>
              </w:rPr>
            </w:pPr>
            <w:r>
              <w:rPr>
                <w:snapToGrid w:val="0"/>
                <w:color w:val="000000"/>
                <w:sz w:val="24"/>
              </w:rPr>
              <w:t>-54</w:t>
            </w:r>
          </w:p>
        </w:tc>
      </w:tr>
      <w:tr w:rsidR="00000000">
        <w:tblPrEx>
          <w:tblCellMar>
            <w:top w:w="0" w:type="dxa"/>
            <w:bottom w:w="0" w:type="dxa"/>
          </w:tblCellMar>
        </w:tblPrEx>
        <w:trPr>
          <w:trHeight w:val="563"/>
        </w:trPr>
        <w:tc>
          <w:tcPr>
            <w:tcW w:w="2160" w:type="dxa"/>
            <w:tcBorders>
              <w:top w:val="double" w:sz="6" w:space="0" w:color="auto"/>
              <w:left w:val="single" w:sz="12" w:space="0" w:color="auto"/>
              <w:bottom w:val="double" w:sz="6" w:space="0" w:color="auto"/>
              <w:right w:val="single" w:sz="18" w:space="0" w:color="auto"/>
            </w:tcBorders>
          </w:tcPr>
          <w:p w:rsidR="00000000" w:rsidRDefault="00C40079">
            <w:pPr>
              <w:tabs>
                <w:tab w:val="left" w:pos="720"/>
                <w:tab w:val="left" w:pos="1080"/>
                <w:tab w:val="left" w:pos="1440"/>
                <w:tab w:val="left" w:pos="1800"/>
                <w:tab w:val="left" w:pos="2160"/>
              </w:tabs>
              <w:rPr>
                <w:b/>
                <w:snapToGrid w:val="0"/>
                <w:color w:val="000000"/>
                <w:sz w:val="24"/>
              </w:rPr>
            </w:pPr>
            <w:r>
              <w:rPr>
                <w:b/>
                <w:snapToGrid w:val="0"/>
                <w:color w:val="000000"/>
                <w:sz w:val="24"/>
              </w:rPr>
              <w:t>TOTAL for New Jersey portion of the NY/NJ/ LI/CT Area</w:t>
            </w:r>
          </w:p>
        </w:tc>
        <w:tc>
          <w:tcPr>
            <w:tcW w:w="1890" w:type="dxa"/>
            <w:tcBorders>
              <w:top w:val="double" w:sz="6" w:space="0" w:color="auto"/>
              <w:left w:val="single" w:sz="18" w:space="0" w:color="auto"/>
              <w:bottom w:val="double" w:sz="6" w:space="0" w:color="auto"/>
              <w:right w:val="single" w:sz="18" w:space="0" w:color="auto"/>
            </w:tcBorders>
          </w:tcPr>
          <w:p w:rsidR="00000000" w:rsidRDefault="00C40079">
            <w:pPr>
              <w:jc w:val="right"/>
              <w:rPr>
                <w:b/>
                <w:snapToGrid w:val="0"/>
                <w:color w:val="000000"/>
                <w:sz w:val="24"/>
              </w:rPr>
            </w:pPr>
          </w:p>
          <w:p w:rsidR="00000000" w:rsidRDefault="00C40079">
            <w:pPr>
              <w:jc w:val="right"/>
              <w:rPr>
                <w:b/>
                <w:snapToGrid w:val="0"/>
                <w:color w:val="000000"/>
                <w:sz w:val="24"/>
              </w:rPr>
            </w:pPr>
            <w:r>
              <w:rPr>
                <w:b/>
                <w:snapToGrid w:val="0"/>
                <w:color w:val="000000"/>
                <w:sz w:val="24"/>
              </w:rPr>
              <w:t>-6.5%</w:t>
            </w:r>
          </w:p>
        </w:tc>
        <w:tc>
          <w:tcPr>
            <w:tcW w:w="1350" w:type="dxa"/>
            <w:tcBorders>
              <w:top w:val="double" w:sz="6" w:space="0" w:color="auto"/>
              <w:left w:val="single" w:sz="18" w:space="0" w:color="auto"/>
              <w:bottom w:val="double" w:sz="6" w:space="0" w:color="auto"/>
              <w:right w:val="single" w:sz="6" w:space="0" w:color="auto"/>
            </w:tcBorders>
          </w:tcPr>
          <w:p w:rsidR="00000000" w:rsidRDefault="00C40079">
            <w:pPr>
              <w:jc w:val="right"/>
              <w:rPr>
                <w:b/>
                <w:snapToGrid w:val="0"/>
                <w:color w:val="000000"/>
                <w:sz w:val="24"/>
              </w:rPr>
            </w:pPr>
          </w:p>
          <w:p w:rsidR="00000000" w:rsidRDefault="00C40079">
            <w:pPr>
              <w:jc w:val="right"/>
              <w:rPr>
                <w:b/>
                <w:snapToGrid w:val="0"/>
                <w:color w:val="000000"/>
                <w:sz w:val="24"/>
              </w:rPr>
            </w:pPr>
            <w:r>
              <w:rPr>
                <w:b/>
                <w:snapToGrid w:val="0"/>
                <w:color w:val="000000"/>
                <w:sz w:val="24"/>
              </w:rPr>
              <w:t>13,952</w:t>
            </w:r>
          </w:p>
        </w:tc>
        <w:tc>
          <w:tcPr>
            <w:tcW w:w="1350" w:type="dxa"/>
            <w:tcBorders>
              <w:top w:val="double" w:sz="6" w:space="0" w:color="auto"/>
              <w:left w:val="single" w:sz="6" w:space="0" w:color="auto"/>
              <w:bottom w:val="double" w:sz="6" w:space="0" w:color="auto"/>
              <w:right w:val="single" w:sz="6" w:space="0" w:color="auto"/>
            </w:tcBorders>
          </w:tcPr>
          <w:p w:rsidR="00000000" w:rsidRDefault="00C40079">
            <w:pPr>
              <w:jc w:val="right"/>
              <w:rPr>
                <w:b/>
                <w:snapToGrid w:val="0"/>
                <w:color w:val="000000"/>
                <w:sz w:val="24"/>
              </w:rPr>
            </w:pPr>
          </w:p>
          <w:p w:rsidR="00000000" w:rsidRDefault="00C40079">
            <w:pPr>
              <w:jc w:val="right"/>
              <w:rPr>
                <w:b/>
                <w:snapToGrid w:val="0"/>
                <w:color w:val="000000"/>
                <w:sz w:val="24"/>
              </w:rPr>
            </w:pPr>
            <w:r>
              <w:rPr>
                <w:b/>
                <w:snapToGrid w:val="0"/>
                <w:color w:val="000000"/>
                <w:sz w:val="24"/>
              </w:rPr>
              <w:t>13,049</w:t>
            </w:r>
          </w:p>
        </w:tc>
        <w:tc>
          <w:tcPr>
            <w:tcW w:w="1620" w:type="dxa"/>
            <w:tcBorders>
              <w:top w:val="double" w:sz="6" w:space="0" w:color="auto"/>
              <w:left w:val="single" w:sz="6" w:space="0" w:color="auto"/>
              <w:bottom w:val="double" w:sz="6" w:space="0" w:color="auto"/>
              <w:right w:val="single" w:sz="12" w:space="0" w:color="auto"/>
            </w:tcBorders>
          </w:tcPr>
          <w:p w:rsidR="00000000" w:rsidRDefault="00C40079">
            <w:pPr>
              <w:jc w:val="right"/>
              <w:rPr>
                <w:b/>
                <w:snapToGrid w:val="0"/>
                <w:color w:val="000000"/>
                <w:sz w:val="24"/>
              </w:rPr>
            </w:pPr>
          </w:p>
          <w:p w:rsidR="00000000" w:rsidRDefault="00C40079">
            <w:pPr>
              <w:jc w:val="right"/>
              <w:rPr>
                <w:b/>
                <w:snapToGrid w:val="0"/>
                <w:color w:val="000000"/>
                <w:sz w:val="24"/>
              </w:rPr>
            </w:pPr>
            <w:r>
              <w:rPr>
                <w:b/>
                <w:snapToGrid w:val="0"/>
                <w:color w:val="000000"/>
                <w:sz w:val="24"/>
              </w:rPr>
              <w:t>-905</w:t>
            </w:r>
          </w:p>
        </w:tc>
      </w:tr>
    </w:tbl>
    <w:p w:rsidR="00000000" w:rsidRDefault="00C40079">
      <w:pPr>
        <w:pStyle w:val="Level2"/>
        <w:tabs>
          <w:tab w:val="left" w:pos="720"/>
          <w:tab w:val="left" w:pos="1080"/>
          <w:tab w:val="left" w:pos="1440"/>
          <w:tab w:val="left" w:pos="1800"/>
          <w:tab w:val="left" w:pos="2160"/>
        </w:tabs>
        <w:ind w:firstLine="720"/>
        <w:rPr>
          <w:sz w:val="22"/>
        </w:rPr>
      </w:pPr>
      <w:r>
        <w:rPr>
          <w:sz w:val="22"/>
        </w:rPr>
        <w:t>NOTES:</w:t>
      </w:r>
    </w:p>
    <w:p w:rsidR="00000000" w:rsidRDefault="00C40079">
      <w:pPr>
        <w:pStyle w:val="Level2"/>
        <w:numPr>
          <w:ilvl w:val="0"/>
          <w:numId w:val="36"/>
        </w:numPr>
        <w:tabs>
          <w:tab w:val="clear" w:pos="360"/>
          <w:tab w:val="left" w:pos="720"/>
          <w:tab w:val="left" w:pos="1080"/>
          <w:tab w:val="left" w:pos="1440"/>
          <w:tab w:val="left" w:pos="1800"/>
          <w:tab w:val="left" w:pos="2160"/>
        </w:tabs>
        <w:ind w:left="1080" w:right="540"/>
      </w:pPr>
      <w:r>
        <w:rPr>
          <w:sz w:val="22"/>
        </w:rPr>
        <w:t>In order for the calculated inventory values to more closely match the actual measured levels</w:t>
      </w:r>
      <w:r>
        <w:rPr>
          <w:sz w:val="22"/>
        </w:rPr>
        <w:t xml:space="preserve"> in New Jersey air quality monitors, the fugitive dust emissions were multiplied by a dust adjustment factor of 20%.  Fugitive dusts are directly released air contaminants that do not pass through an exhaust pipe, stack, flue, vent or chimney.  The main so</w:t>
      </w:r>
      <w:r>
        <w:rPr>
          <w:sz w:val="22"/>
        </w:rPr>
        <w:t>urces of fugitive dusts are dust from paved and unpaved roadways, stock/storage piles, landfill activity, quarry/mining activity, raw material handling, construction and agricultural tilling.</w:t>
      </w:r>
    </w:p>
    <w:p w:rsidR="00000000" w:rsidRDefault="00C40079">
      <w:pPr>
        <w:pStyle w:val="Level2"/>
        <w:tabs>
          <w:tab w:val="left" w:pos="720"/>
          <w:tab w:val="left" w:pos="1080"/>
          <w:tab w:val="left" w:pos="1440"/>
          <w:tab w:val="left" w:pos="1800"/>
          <w:tab w:val="left" w:pos="2160"/>
        </w:tabs>
        <w:jc w:val="center"/>
        <w:rPr>
          <w:b/>
        </w:rPr>
      </w:pPr>
    </w:p>
    <w:p w:rsidR="00000000" w:rsidRDefault="00C40079">
      <w:pPr>
        <w:pStyle w:val="Level2"/>
        <w:tabs>
          <w:tab w:val="left" w:pos="720"/>
          <w:tab w:val="left" w:pos="1080"/>
          <w:tab w:val="left" w:pos="1440"/>
          <w:tab w:val="left" w:pos="1800"/>
          <w:tab w:val="left" w:pos="2160"/>
        </w:tabs>
        <w:rPr>
          <w:b/>
        </w:rPr>
      </w:pPr>
      <w:r>
        <w:t>Table X shows the results of the 2002 and projected 2009 NO</w:t>
      </w:r>
      <w:r>
        <w:rPr>
          <w:vertAlign w:val="subscript"/>
        </w:rPr>
        <w:t>x</w:t>
      </w:r>
      <w:r>
        <w:t xml:space="preserve"> in</w:t>
      </w:r>
      <w:r>
        <w:t>ventories by source type for the New Jersey counties in the New York /New Jersey/Long Island/Connecticut PM</w:t>
      </w:r>
      <w:r>
        <w:rPr>
          <w:vertAlign w:val="subscript"/>
        </w:rPr>
        <w:t>2.5</w:t>
      </w:r>
      <w:r>
        <w:t xml:space="preserve"> nonattainment area.  Emissions from stationary and area sources are projected to increase by seven percent in both categories, for a total increa</w:t>
      </w:r>
      <w:r>
        <w:t>se of 3,698 tons per year.  The increase is projected to be more than offset by projected decreases in NO</w:t>
      </w:r>
      <w:r>
        <w:rPr>
          <w:vertAlign w:val="subscript"/>
        </w:rPr>
        <w:t>x</w:t>
      </w:r>
      <w:r>
        <w:t xml:space="preserve"> emissions from onroad and nonroad mobile sources, by a total of 79,959 tons per year, for an overall decrease of 76,261 tons per year, or about thirt</w:t>
      </w:r>
      <w:r>
        <w:t>y-two percent (32%), by 2009.  Thus the area meets the USEPA’s criteria for “progress toward attainment” for direct NOx emissions</w:t>
      </w:r>
      <w:r>
        <w:rPr>
          <w:b/>
        </w:rPr>
        <w:t>.</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jc w:val="center"/>
        <w:rPr>
          <w:b/>
        </w:rPr>
      </w:pPr>
      <w:r>
        <w:rPr>
          <w:b/>
        </w:rPr>
        <w:br w:type="page"/>
      </w:r>
    </w:p>
    <w:p w:rsidR="00000000" w:rsidRDefault="00C40079">
      <w:pPr>
        <w:pStyle w:val="Level2"/>
        <w:tabs>
          <w:tab w:val="left" w:pos="720"/>
          <w:tab w:val="left" w:pos="1080"/>
          <w:tab w:val="left" w:pos="1440"/>
          <w:tab w:val="left" w:pos="1800"/>
          <w:tab w:val="left" w:pos="2160"/>
        </w:tabs>
        <w:jc w:val="center"/>
        <w:rPr>
          <w:b/>
        </w:rPr>
      </w:pPr>
    </w:p>
    <w:p w:rsidR="00000000" w:rsidRDefault="00C40079">
      <w:pPr>
        <w:pStyle w:val="Level2"/>
        <w:tabs>
          <w:tab w:val="left" w:pos="720"/>
          <w:tab w:val="left" w:pos="1080"/>
          <w:tab w:val="left" w:pos="1440"/>
          <w:tab w:val="left" w:pos="1800"/>
          <w:tab w:val="left" w:pos="2160"/>
        </w:tabs>
        <w:jc w:val="center"/>
        <w:rPr>
          <w:b/>
        </w:rPr>
      </w:pPr>
    </w:p>
    <w:p w:rsidR="00000000" w:rsidRDefault="00C40079">
      <w:pPr>
        <w:pStyle w:val="Level2"/>
        <w:tabs>
          <w:tab w:val="left" w:pos="720"/>
          <w:tab w:val="left" w:pos="1080"/>
          <w:tab w:val="left" w:pos="1440"/>
          <w:tab w:val="left" w:pos="1800"/>
          <w:tab w:val="left" w:pos="2160"/>
        </w:tabs>
        <w:jc w:val="center"/>
        <w:rPr>
          <w:b/>
        </w:rPr>
      </w:pPr>
      <w:bookmarkStart w:id="134" w:name="Table_X"/>
      <w:bookmarkStart w:id="135" w:name="_Hlt126641905"/>
      <w:bookmarkEnd w:id="135"/>
      <w:r>
        <w:rPr>
          <w:b/>
        </w:rPr>
        <w:t>Table X</w:t>
      </w:r>
      <w:bookmarkEnd w:id="134"/>
      <w:r>
        <w:rPr>
          <w:b/>
        </w:rPr>
        <w:t xml:space="preserve"> </w:t>
      </w:r>
    </w:p>
    <w:p w:rsidR="00000000" w:rsidRDefault="00C40079">
      <w:pPr>
        <w:pStyle w:val="Level2"/>
        <w:tabs>
          <w:tab w:val="left" w:pos="720"/>
          <w:tab w:val="left" w:pos="1080"/>
          <w:tab w:val="left" w:pos="1440"/>
          <w:tab w:val="left" w:pos="1800"/>
          <w:tab w:val="left" w:pos="2160"/>
        </w:tabs>
        <w:jc w:val="center"/>
        <w:rPr>
          <w:b/>
        </w:rPr>
      </w:pPr>
      <w:r>
        <w:rPr>
          <w:b/>
        </w:rPr>
        <w:t>Annual NO</w:t>
      </w:r>
      <w:r>
        <w:rPr>
          <w:b/>
          <w:vertAlign w:val="subscript"/>
        </w:rPr>
        <w:t>x</w:t>
      </w:r>
      <w:r>
        <w:rPr>
          <w:b/>
        </w:rPr>
        <w:t xml:space="preserve"> Emission Inventories for 2002 and 2009 for the New Jersey Portion</w:t>
      </w:r>
    </w:p>
    <w:p w:rsidR="00000000" w:rsidRDefault="00C40079">
      <w:pPr>
        <w:pStyle w:val="Level2"/>
        <w:tabs>
          <w:tab w:val="left" w:pos="720"/>
          <w:tab w:val="left" w:pos="1080"/>
          <w:tab w:val="left" w:pos="1440"/>
          <w:tab w:val="left" w:pos="1800"/>
          <w:tab w:val="left" w:pos="2160"/>
        </w:tabs>
        <w:jc w:val="center"/>
        <w:rPr>
          <w:b/>
        </w:rPr>
      </w:pPr>
      <w:r>
        <w:rPr>
          <w:b/>
        </w:rPr>
        <w:t xml:space="preserve"> of the New York /New Jersey/Long </w:t>
      </w:r>
      <w:r>
        <w:rPr>
          <w:b/>
        </w:rPr>
        <w:t>Island/Connecticut PM</w:t>
      </w:r>
      <w:r>
        <w:rPr>
          <w:b/>
          <w:vertAlign w:val="subscript"/>
        </w:rPr>
        <w:t>2.5</w:t>
      </w:r>
      <w:r>
        <w:rPr>
          <w:b/>
        </w:rPr>
        <w:t xml:space="preserve"> Nonattainment Area</w:t>
      </w:r>
    </w:p>
    <w:p w:rsidR="00000000" w:rsidRDefault="00C40079">
      <w:pPr>
        <w:pStyle w:val="Level2"/>
        <w:tabs>
          <w:tab w:val="left" w:pos="720"/>
          <w:tab w:val="left" w:pos="1080"/>
          <w:tab w:val="left" w:pos="1440"/>
          <w:tab w:val="left" w:pos="1800"/>
          <w:tab w:val="left" w:pos="2160"/>
        </w:tabs>
      </w:pPr>
    </w:p>
    <w:tbl>
      <w:tblPr>
        <w:tblW w:w="0" w:type="auto"/>
        <w:tblInd w:w="-510" w:type="dxa"/>
        <w:tblLayout w:type="fixed"/>
        <w:tblCellMar>
          <w:left w:w="30" w:type="dxa"/>
          <w:right w:w="30" w:type="dxa"/>
        </w:tblCellMar>
        <w:tblLook w:val="0000" w:firstRow="0" w:lastRow="0" w:firstColumn="0" w:lastColumn="0" w:noHBand="0" w:noVBand="0"/>
      </w:tblPr>
      <w:tblGrid>
        <w:gridCol w:w="1440"/>
        <w:gridCol w:w="720"/>
        <w:gridCol w:w="720"/>
        <w:gridCol w:w="720"/>
        <w:gridCol w:w="720"/>
        <w:gridCol w:w="720"/>
        <w:gridCol w:w="720"/>
        <w:gridCol w:w="720"/>
        <w:gridCol w:w="720"/>
        <w:gridCol w:w="720"/>
        <w:gridCol w:w="900"/>
        <w:gridCol w:w="900"/>
        <w:gridCol w:w="900"/>
      </w:tblGrid>
      <w:tr w:rsidR="00000000">
        <w:tblPrEx>
          <w:tblCellMar>
            <w:top w:w="0" w:type="dxa"/>
            <w:bottom w:w="0" w:type="dxa"/>
          </w:tblCellMar>
        </w:tblPrEx>
        <w:trPr>
          <w:cantSplit/>
        </w:trPr>
        <w:tc>
          <w:tcPr>
            <w:tcW w:w="1440" w:type="dxa"/>
            <w:tcBorders>
              <w:top w:val="single" w:sz="12" w:space="0" w:color="auto"/>
              <w:left w:val="single" w:sz="12" w:space="0" w:color="auto"/>
              <w:bottom w:val="single" w:sz="12" w:space="0" w:color="auto"/>
              <w:right w:val="single" w:sz="18" w:space="0" w:color="auto"/>
            </w:tcBorders>
          </w:tcPr>
          <w:p w:rsidR="00000000" w:rsidRDefault="00C40079">
            <w:pPr>
              <w:tabs>
                <w:tab w:val="left" w:pos="720"/>
                <w:tab w:val="left" w:pos="1080"/>
                <w:tab w:val="left" w:pos="1440"/>
                <w:tab w:val="left" w:pos="1800"/>
                <w:tab w:val="left" w:pos="2160"/>
              </w:tabs>
              <w:jc w:val="center"/>
              <w:rPr>
                <w:b/>
                <w:snapToGrid w:val="0"/>
                <w:color w:val="000000"/>
              </w:rPr>
            </w:pPr>
          </w:p>
        </w:tc>
        <w:tc>
          <w:tcPr>
            <w:tcW w:w="9180" w:type="dxa"/>
            <w:gridSpan w:val="12"/>
            <w:tcBorders>
              <w:top w:val="single" w:sz="12" w:space="0" w:color="auto"/>
              <w:left w:val="single" w:sz="18" w:space="0" w:color="auto"/>
              <w:bottom w:val="nil"/>
              <w:right w:val="single" w:sz="12" w:space="0" w:color="auto"/>
            </w:tcBorders>
          </w:tcPr>
          <w:p w:rsidR="00000000" w:rsidRDefault="00C40079">
            <w:pPr>
              <w:tabs>
                <w:tab w:val="left" w:pos="720"/>
                <w:tab w:val="left" w:pos="1080"/>
                <w:tab w:val="left" w:pos="1440"/>
                <w:tab w:val="left" w:pos="1800"/>
                <w:tab w:val="left" w:pos="2160"/>
              </w:tabs>
              <w:jc w:val="center"/>
              <w:rPr>
                <w:b/>
                <w:snapToGrid w:val="0"/>
                <w:color w:val="000000"/>
              </w:rPr>
            </w:pPr>
            <w:r>
              <w:rPr>
                <w:b/>
                <w:snapToGrid w:val="0"/>
                <w:color w:val="000000"/>
              </w:rPr>
              <w:t>CONTROLLED EMISSIONS ANNUAL (TONS PER YEAR)</w:t>
            </w:r>
          </w:p>
        </w:tc>
      </w:tr>
      <w:tr w:rsidR="00000000">
        <w:tblPrEx>
          <w:tblCellMar>
            <w:top w:w="0" w:type="dxa"/>
            <w:bottom w:w="0" w:type="dxa"/>
          </w:tblCellMar>
        </w:tblPrEx>
        <w:trPr>
          <w:cantSplit/>
          <w:trHeight w:val="266"/>
        </w:trPr>
        <w:tc>
          <w:tcPr>
            <w:tcW w:w="1440" w:type="dxa"/>
            <w:tcBorders>
              <w:top w:val="single" w:sz="12" w:space="0" w:color="auto"/>
              <w:left w:val="single" w:sz="12" w:space="0" w:color="auto"/>
              <w:bottom w:val="single" w:sz="6" w:space="0" w:color="auto"/>
            </w:tcBorders>
          </w:tcPr>
          <w:p w:rsidR="00000000" w:rsidRDefault="00C40079">
            <w:pPr>
              <w:tabs>
                <w:tab w:val="left" w:pos="720"/>
                <w:tab w:val="left" w:pos="1080"/>
                <w:tab w:val="left" w:pos="1440"/>
                <w:tab w:val="left" w:pos="1800"/>
                <w:tab w:val="left" w:pos="2160"/>
              </w:tabs>
              <w:rPr>
                <w:b/>
                <w:snapToGrid w:val="0"/>
                <w:color w:val="000000"/>
              </w:rPr>
            </w:pPr>
            <w:r>
              <w:rPr>
                <w:b/>
                <w:snapToGrid w:val="0"/>
                <w:color w:val="000000"/>
              </w:rPr>
              <w:t>SOURCE CATEGORY</w:t>
            </w:r>
          </w:p>
        </w:tc>
        <w:tc>
          <w:tcPr>
            <w:tcW w:w="2160" w:type="dxa"/>
            <w:gridSpan w:val="3"/>
            <w:tcBorders>
              <w:top w:val="single" w:sz="12" w:space="0" w:color="auto"/>
              <w:left w:val="single" w:sz="12" w:space="0" w:color="auto"/>
              <w:bottom w:val="single" w:sz="12" w:space="0" w:color="auto"/>
              <w:right w:val="single" w:sz="12" w:space="0" w:color="auto"/>
            </w:tcBorders>
          </w:tcPr>
          <w:p w:rsidR="00000000" w:rsidRDefault="00C40079">
            <w:pPr>
              <w:tabs>
                <w:tab w:val="left" w:pos="720"/>
                <w:tab w:val="left" w:pos="1080"/>
                <w:tab w:val="left" w:pos="1440"/>
                <w:tab w:val="left" w:pos="1800"/>
                <w:tab w:val="left" w:pos="2160"/>
              </w:tabs>
              <w:jc w:val="center"/>
              <w:rPr>
                <w:b/>
                <w:snapToGrid w:val="0"/>
                <w:color w:val="000000"/>
              </w:rPr>
            </w:pPr>
          </w:p>
          <w:p w:rsidR="00000000" w:rsidRDefault="00C40079">
            <w:pPr>
              <w:tabs>
                <w:tab w:val="left" w:pos="720"/>
                <w:tab w:val="left" w:pos="1080"/>
                <w:tab w:val="left" w:pos="1440"/>
                <w:tab w:val="left" w:pos="1800"/>
                <w:tab w:val="left" w:pos="2160"/>
              </w:tabs>
              <w:jc w:val="center"/>
              <w:rPr>
                <w:b/>
                <w:snapToGrid w:val="0"/>
                <w:color w:val="000000"/>
              </w:rPr>
            </w:pPr>
            <w:r>
              <w:rPr>
                <w:b/>
                <w:snapToGrid w:val="0"/>
                <w:color w:val="000000"/>
              </w:rPr>
              <w:t>AREA</w:t>
            </w:r>
          </w:p>
        </w:tc>
        <w:tc>
          <w:tcPr>
            <w:tcW w:w="2160" w:type="dxa"/>
            <w:gridSpan w:val="3"/>
            <w:tcBorders>
              <w:top w:val="single" w:sz="12" w:space="0" w:color="auto"/>
              <w:left w:val="single" w:sz="12" w:space="0" w:color="auto"/>
              <w:bottom w:val="single" w:sz="12" w:space="0" w:color="auto"/>
              <w:right w:val="single" w:sz="12" w:space="0" w:color="auto"/>
            </w:tcBorders>
          </w:tcPr>
          <w:p w:rsidR="00000000" w:rsidRDefault="00C40079">
            <w:pPr>
              <w:tabs>
                <w:tab w:val="left" w:pos="720"/>
                <w:tab w:val="left" w:pos="1080"/>
                <w:tab w:val="left" w:pos="1440"/>
                <w:tab w:val="left" w:pos="1800"/>
                <w:tab w:val="left" w:pos="2160"/>
              </w:tabs>
              <w:jc w:val="center"/>
              <w:rPr>
                <w:b/>
                <w:snapToGrid w:val="0"/>
                <w:color w:val="000000"/>
              </w:rPr>
            </w:pPr>
          </w:p>
          <w:p w:rsidR="00000000" w:rsidRDefault="00C40079">
            <w:pPr>
              <w:tabs>
                <w:tab w:val="left" w:pos="720"/>
                <w:tab w:val="left" w:pos="1080"/>
                <w:tab w:val="left" w:pos="1440"/>
                <w:tab w:val="left" w:pos="1800"/>
                <w:tab w:val="left" w:pos="2160"/>
              </w:tabs>
              <w:jc w:val="center"/>
              <w:rPr>
                <w:b/>
                <w:snapToGrid w:val="0"/>
                <w:color w:val="000000"/>
              </w:rPr>
            </w:pPr>
            <w:r>
              <w:rPr>
                <w:b/>
                <w:snapToGrid w:val="0"/>
                <w:color w:val="000000"/>
              </w:rPr>
              <w:t>NONROAD</w:t>
            </w:r>
          </w:p>
        </w:tc>
        <w:tc>
          <w:tcPr>
            <w:tcW w:w="2160" w:type="dxa"/>
            <w:gridSpan w:val="3"/>
            <w:tcBorders>
              <w:top w:val="single" w:sz="12" w:space="0" w:color="auto"/>
              <w:left w:val="single" w:sz="12" w:space="0" w:color="auto"/>
              <w:bottom w:val="single" w:sz="12" w:space="0" w:color="auto"/>
              <w:right w:val="single" w:sz="12" w:space="0" w:color="auto"/>
            </w:tcBorders>
          </w:tcPr>
          <w:p w:rsidR="00000000" w:rsidRDefault="00C40079">
            <w:pPr>
              <w:tabs>
                <w:tab w:val="left" w:pos="720"/>
                <w:tab w:val="left" w:pos="1080"/>
                <w:tab w:val="left" w:pos="1440"/>
                <w:tab w:val="left" w:pos="1800"/>
                <w:tab w:val="left" w:pos="2160"/>
              </w:tabs>
              <w:jc w:val="center"/>
              <w:rPr>
                <w:b/>
                <w:snapToGrid w:val="0"/>
                <w:color w:val="000000"/>
              </w:rPr>
            </w:pPr>
          </w:p>
          <w:p w:rsidR="00000000" w:rsidRDefault="00C40079">
            <w:pPr>
              <w:tabs>
                <w:tab w:val="left" w:pos="720"/>
                <w:tab w:val="left" w:pos="1080"/>
                <w:tab w:val="left" w:pos="1440"/>
                <w:tab w:val="left" w:pos="1800"/>
                <w:tab w:val="left" w:pos="2160"/>
              </w:tabs>
              <w:jc w:val="center"/>
              <w:rPr>
                <w:b/>
                <w:snapToGrid w:val="0"/>
                <w:color w:val="000000"/>
              </w:rPr>
            </w:pPr>
            <w:r>
              <w:rPr>
                <w:b/>
                <w:snapToGrid w:val="0"/>
                <w:color w:val="000000"/>
              </w:rPr>
              <w:t xml:space="preserve">STATIONARY </w:t>
            </w:r>
          </w:p>
        </w:tc>
        <w:tc>
          <w:tcPr>
            <w:tcW w:w="2700" w:type="dxa"/>
            <w:gridSpan w:val="3"/>
            <w:tcBorders>
              <w:top w:val="single" w:sz="12" w:space="0" w:color="auto"/>
              <w:left w:val="single" w:sz="12" w:space="0" w:color="auto"/>
              <w:bottom w:val="single" w:sz="12" w:space="0" w:color="auto"/>
              <w:right w:val="single" w:sz="12" w:space="0" w:color="auto"/>
            </w:tcBorders>
          </w:tcPr>
          <w:p w:rsidR="00000000" w:rsidRDefault="00C40079">
            <w:pPr>
              <w:tabs>
                <w:tab w:val="left" w:pos="720"/>
                <w:tab w:val="left" w:pos="1080"/>
                <w:tab w:val="left" w:pos="1440"/>
                <w:tab w:val="left" w:pos="1800"/>
                <w:tab w:val="left" w:pos="2160"/>
              </w:tabs>
              <w:jc w:val="center"/>
              <w:rPr>
                <w:b/>
                <w:snapToGrid w:val="0"/>
                <w:color w:val="000000"/>
              </w:rPr>
            </w:pPr>
          </w:p>
          <w:p w:rsidR="00000000" w:rsidRDefault="00C40079">
            <w:pPr>
              <w:tabs>
                <w:tab w:val="left" w:pos="720"/>
                <w:tab w:val="left" w:pos="1080"/>
                <w:tab w:val="left" w:pos="1440"/>
                <w:tab w:val="left" w:pos="1800"/>
                <w:tab w:val="left" w:pos="2160"/>
              </w:tabs>
              <w:jc w:val="center"/>
              <w:rPr>
                <w:b/>
                <w:snapToGrid w:val="0"/>
                <w:color w:val="000000"/>
              </w:rPr>
            </w:pPr>
            <w:r>
              <w:rPr>
                <w:b/>
                <w:snapToGrid w:val="0"/>
                <w:color w:val="000000"/>
              </w:rPr>
              <w:t>ONROAD</w:t>
            </w:r>
          </w:p>
        </w:tc>
      </w:tr>
      <w:tr w:rsidR="00000000">
        <w:tblPrEx>
          <w:tblCellMar>
            <w:top w:w="0" w:type="dxa"/>
            <w:bottom w:w="0" w:type="dxa"/>
          </w:tblCellMar>
        </w:tblPrEx>
        <w:trPr>
          <w:trHeight w:val="266"/>
        </w:trPr>
        <w:tc>
          <w:tcPr>
            <w:tcW w:w="1440" w:type="dxa"/>
            <w:tcBorders>
              <w:top w:val="single" w:sz="6" w:space="0" w:color="auto"/>
              <w:left w:val="single" w:sz="12"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rPr>
                <w:b/>
                <w:snapToGrid w:val="0"/>
                <w:color w:val="000000"/>
              </w:rPr>
            </w:pPr>
            <w:r>
              <w:rPr>
                <w:b/>
                <w:snapToGrid w:val="0"/>
                <w:color w:val="000000"/>
              </w:rPr>
              <w:t>COUNTY</w:t>
            </w:r>
          </w:p>
        </w:tc>
        <w:tc>
          <w:tcPr>
            <w:tcW w:w="720" w:type="dxa"/>
            <w:tcBorders>
              <w:top w:val="single" w:sz="12" w:space="0" w:color="auto"/>
              <w:left w:val="single" w:sz="12" w:space="0" w:color="auto"/>
              <w:bottom w:val="single" w:sz="12" w:space="0" w:color="auto"/>
              <w:right w:val="single" w:sz="6" w:space="0" w:color="auto"/>
            </w:tcBorders>
          </w:tcPr>
          <w:p w:rsidR="00000000" w:rsidRDefault="00C40079">
            <w:pPr>
              <w:tabs>
                <w:tab w:val="left" w:pos="720"/>
                <w:tab w:val="left" w:pos="1080"/>
                <w:tab w:val="left" w:pos="1440"/>
                <w:tab w:val="left" w:pos="1800"/>
                <w:tab w:val="left" w:pos="2160"/>
              </w:tabs>
              <w:jc w:val="center"/>
              <w:rPr>
                <w:b/>
                <w:snapToGrid w:val="0"/>
                <w:color w:val="000000"/>
              </w:rPr>
            </w:pPr>
          </w:p>
          <w:p w:rsidR="00000000" w:rsidRDefault="00C40079">
            <w:pPr>
              <w:tabs>
                <w:tab w:val="left" w:pos="720"/>
                <w:tab w:val="left" w:pos="1080"/>
                <w:tab w:val="left" w:pos="1440"/>
                <w:tab w:val="left" w:pos="1800"/>
                <w:tab w:val="left" w:pos="2160"/>
              </w:tabs>
              <w:jc w:val="center"/>
              <w:rPr>
                <w:b/>
                <w:snapToGrid w:val="0"/>
                <w:color w:val="000000"/>
              </w:rPr>
            </w:pPr>
            <w:r>
              <w:rPr>
                <w:b/>
                <w:snapToGrid w:val="0"/>
                <w:color w:val="000000"/>
              </w:rPr>
              <w:t>2002</w:t>
            </w:r>
          </w:p>
        </w:tc>
        <w:tc>
          <w:tcPr>
            <w:tcW w:w="720" w:type="dxa"/>
            <w:tcBorders>
              <w:top w:val="single" w:sz="12" w:space="0" w:color="auto"/>
              <w:left w:val="single" w:sz="6" w:space="0" w:color="auto"/>
              <w:bottom w:val="single" w:sz="12" w:space="0" w:color="auto"/>
              <w:right w:val="single" w:sz="6" w:space="0" w:color="auto"/>
            </w:tcBorders>
          </w:tcPr>
          <w:p w:rsidR="00000000" w:rsidRDefault="00C40079">
            <w:pPr>
              <w:tabs>
                <w:tab w:val="left" w:pos="720"/>
                <w:tab w:val="left" w:pos="1080"/>
                <w:tab w:val="left" w:pos="1440"/>
                <w:tab w:val="left" w:pos="1800"/>
                <w:tab w:val="left" w:pos="2160"/>
              </w:tabs>
              <w:jc w:val="center"/>
              <w:rPr>
                <w:b/>
                <w:snapToGrid w:val="0"/>
                <w:color w:val="000000"/>
              </w:rPr>
            </w:pPr>
          </w:p>
          <w:p w:rsidR="00000000" w:rsidRDefault="00C40079">
            <w:pPr>
              <w:tabs>
                <w:tab w:val="left" w:pos="720"/>
                <w:tab w:val="left" w:pos="1080"/>
                <w:tab w:val="left" w:pos="1440"/>
                <w:tab w:val="left" w:pos="1800"/>
                <w:tab w:val="left" w:pos="2160"/>
              </w:tabs>
              <w:jc w:val="center"/>
              <w:rPr>
                <w:b/>
                <w:snapToGrid w:val="0"/>
                <w:color w:val="000000"/>
              </w:rPr>
            </w:pPr>
            <w:r>
              <w:rPr>
                <w:b/>
                <w:snapToGrid w:val="0"/>
                <w:color w:val="000000"/>
              </w:rPr>
              <w:t>2009</w:t>
            </w:r>
          </w:p>
        </w:tc>
        <w:tc>
          <w:tcPr>
            <w:tcW w:w="720" w:type="dxa"/>
            <w:tcBorders>
              <w:top w:val="single" w:sz="12" w:space="0" w:color="auto"/>
              <w:left w:val="single" w:sz="6" w:space="0" w:color="auto"/>
              <w:bottom w:val="single" w:sz="12" w:space="0" w:color="auto"/>
              <w:right w:val="single" w:sz="12" w:space="0" w:color="auto"/>
            </w:tcBorders>
          </w:tcPr>
          <w:p w:rsidR="00000000" w:rsidRDefault="00C40079">
            <w:pPr>
              <w:pStyle w:val="Level2"/>
              <w:tabs>
                <w:tab w:val="left" w:pos="720"/>
                <w:tab w:val="left" w:pos="1080"/>
                <w:tab w:val="left" w:pos="1440"/>
                <w:tab w:val="left" w:pos="1800"/>
                <w:tab w:val="left" w:pos="2160"/>
              </w:tabs>
              <w:jc w:val="center"/>
              <w:rPr>
                <w:b/>
                <w:sz w:val="20"/>
              </w:rPr>
            </w:pPr>
            <w:r>
              <w:rPr>
                <w:b/>
                <w:snapToGrid w:val="0"/>
                <w:color w:val="000000"/>
                <w:sz w:val="20"/>
              </w:rPr>
              <w:t>(2009-2002)</w:t>
            </w:r>
          </w:p>
        </w:tc>
        <w:tc>
          <w:tcPr>
            <w:tcW w:w="720" w:type="dxa"/>
            <w:tcBorders>
              <w:top w:val="single" w:sz="12" w:space="0" w:color="auto"/>
              <w:left w:val="single" w:sz="12" w:space="0" w:color="auto"/>
              <w:bottom w:val="single" w:sz="12" w:space="0" w:color="auto"/>
              <w:right w:val="single" w:sz="6" w:space="0" w:color="auto"/>
            </w:tcBorders>
          </w:tcPr>
          <w:p w:rsidR="00000000" w:rsidRDefault="00C40079">
            <w:pPr>
              <w:tabs>
                <w:tab w:val="left" w:pos="720"/>
                <w:tab w:val="left" w:pos="1080"/>
                <w:tab w:val="left" w:pos="1440"/>
                <w:tab w:val="left" w:pos="1800"/>
                <w:tab w:val="left" w:pos="2160"/>
              </w:tabs>
              <w:jc w:val="center"/>
              <w:rPr>
                <w:b/>
                <w:snapToGrid w:val="0"/>
                <w:color w:val="000000"/>
              </w:rPr>
            </w:pPr>
          </w:p>
          <w:p w:rsidR="00000000" w:rsidRDefault="00C40079">
            <w:pPr>
              <w:tabs>
                <w:tab w:val="left" w:pos="720"/>
                <w:tab w:val="left" w:pos="1080"/>
                <w:tab w:val="left" w:pos="1440"/>
                <w:tab w:val="left" w:pos="1800"/>
                <w:tab w:val="left" w:pos="2160"/>
              </w:tabs>
              <w:jc w:val="center"/>
              <w:rPr>
                <w:b/>
                <w:snapToGrid w:val="0"/>
                <w:color w:val="000000"/>
              </w:rPr>
            </w:pPr>
            <w:r>
              <w:rPr>
                <w:b/>
                <w:snapToGrid w:val="0"/>
                <w:color w:val="000000"/>
              </w:rPr>
              <w:t>2002</w:t>
            </w:r>
          </w:p>
        </w:tc>
        <w:tc>
          <w:tcPr>
            <w:tcW w:w="720" w:type="dxa"/>
            <w:tcBorders>
              <w:top w:val="single" w:sz="12" w:space="0" w:color="auto"/>
              <w:left w:val="single" w:sz="6" w:space="0" w:color="auto"/>
              <w:bottom w:val="single" w:sz="12" w:space="0" w:color="auto"/>
              <w:right w:val="single" w:sz="6" w:space="0" w:color="auto"/>
            </w:tcBorders>
          </w:tcPr>
          <w:p w:rsidR="00000000" w:rsidRDefault="00C40079">
            <w:pPr>
              <w:tabs>
                <w:tab w:val="left" w:pos="720"/>
                <w:tab w:val="left" w:pos="1080"/>
                <w:tab w:val="left" w:pos="1440"/>
                <w:tab w:val="left" w:pos="1800"/>
                <w:tab w:val="left" w:pos="2160"/>
              </w:tabs>
              <w:jc w:val="center"/>
              <w:rPr>
                <w:b/>
                <w:snapToGrid w:val="0"/>
                <w:color w:val="000000"/>
              </w:rPr>
            </w:pPr>
          </w:p>
          <w:p w:rsidR="00000000" w:rsidRDefault="00C40079">
            <w:pPr>
              <w:tabs>
                <w:tab w:val="left" w:pos="720"/>
                <w:tab w:val="left" w:pos="1080"/>
                <w:tab w:val="left" w:pos="1440"/>
                <w:tab w:val="left" w:pos="1800"/>
                <w:tab w:val="left" w:pos="2160"/>
              </w:tabs>
              <w:jc w:val="center"/>
              <w:rPr>
                <w:b/>
                <w:snapToGrid w:val="0"/>
                <w:color w:val="000000"/>
              </w:rPr>
            </w:pPr>
            <w:r>
              <w:rPr>
                <w:b/>
                <w:snapToGrid w:val="0"/>
                <w:color w:val="000000"/>
              </w:rPr>
              <w:t>2009</w:t>
            </w:r>
          </w:p>
        </w:tc>
        <w:tc>
          <w:tcPr>
            <w:tcW w:w="720" w:type="dxa"/>
            <w:tcBorders>
              <w:top w:val="single" w:sz="12" w:space="0" w:color="auto"/>
              <w:left w:val="single" w:sz="6" w:space="0" w:color="auto"/>
              <w:bottom w:val="single" w:sz="12" w:space="0" w:color="auto"/>
              <w:right w:val="single" w:sz="12" w:space="0" w:color="auto"/>
            </w:tcBorders>
          </w:tcPr>
          <w:p w:rsidR="00000000" w:rsidRDefault="00C40079">
            <w:pPr>
              <w:pStyle w:val="Level2"/>
              <w:tabs>
                <w:tab w:val="left" w:pos="720"/>
                <w:tab w:val="left" w:pos="1080"/>
                <w:tab w:val="left" w:pos="1440"/>
                <w:tab w:val="left" w:pos="1800"/>
                <w:tab w:val="left" w:pos="2160"/>
              </w:tabs>
              <w:jc w:val="center"/>
              <w:rPr>
                <w:b/>
                <w:sz w:val="20"/>
              </w:rPr>
            </w:pPr>
            <w:r>
              <w:rPr>
                <w:b/>
                <w:snapToGrid w:val="0"/>
                <w:color w:val="000000"/>
                <w:sz w:val="20"/>
              </w:rPr>
              <w:t>(2009-2002)</w:t>
            </w:r>
          </w:p>
        </w:tc>
        <w:tc>
          <w:tcPr>
            <w:tcW w:w="720" w:type="dxa"/>
            <w:tcBorders>
              <w:top w:val="single" w:sz="12" w:space="0" w:color="auto"/>
              <w:left w:val="single" w:sz="12" w:space="0" w:color="auto"/>
              <w:bottom w:val="single" w:sz="12" w:space="0" w:color="auto"/>
              <w:right w:val="single" w:sz="6" w:space="0" w:color="auto"/>
            </w:tcBorders>
          </w:tcPr>
          <w:p w:rsidR="00000000" w:rsidRDefault="00C40079">
            <w:pPr>
              <w:tabs>
                <w:tab w:val="left" w:pos="720"/>
                <w:tab w:val="left" w:pos="1080"/>
                <w:tab w:val="left" w:pos="1440"/>
                <w:tab w:val="left" w:pos="1800"/>
                <w:tab w:val="left" w:pos="2160"/>
              </w:tabs>
              <w:jc w:val="center"/>
              <w:rPr>
                <w:b/>
                <w:snapToGrid w:val="0"/>
                <w:color w:val="000000"/>
              </w:rPr>
            </w:pPr>
          </w:p>
          <w:p w:rsidR="00000000" w:rsidRDefault="00C40079">
            <w:pPr>
              <w:tabs>
                <w:tab w:val="left" w:pos="720"/>
                <w:tab w:val="left" w:pos="1080"/>
                <w:tab w:val="left" w:pos="1440"/>
                <w:tab w:val="left" w:pos="1800"/>
                <w:tab w:val="left" w:pos="2160"/>
              </w:tabs>
              <w:jc w:val="center"/>
              <w:rPr>
                <w:b/>
                <w:snapToGrid w:val="0"/>
                <w:color w:val="000000"/>
              </w:rPr>
            </w:pPr>
            <w:r>
              <w:rPr>
                <w:b/>
                <w:snapToGrid w:val="0"/>
                <w:color w:val="000000"/>
              </w:rPr>
              <w:t>2002</w:t>
            </w:r>
          </w:p>
        </w:tc>
        <w:tc>
          <w:tcPr>
            <w:tcW w:w="720" w:type="dxa"/>
            <w:tcBorders>
              <w:top w:val="single" w:sz="12" w:space="0" w:color="auto"/>
              <w:left w:val="single" w:sz="6" w:space="0" w:color="auto"/>
              <w:bottom w:val="single" w:sz="12" w:space="0" w:color="auto"/>
              <w:right w:val="single" w:sz="6" w:space="0" w:color="auto"/>
            </w:tcBorders>
          </w:tcPr>
          <w:p w:rsidR="00000000" w:rsidRDefault="00C40079">
            <w:pPr>
              <w:tabs>
                <w:tab w:val="left" w:pos="720"/>
                <w:tab w:val="left" w:pos="1080"/>
                <w:tab w:val="left" w:pos="1440"/>
                <w:tab w:val="left" w:pos="1800"/>
                <w:tab w:val="left" w:pos="2160"/>
              </w:tabs>
              <w:jc w:val="center"/>
              <w:rPr>
                <w:b/>
                <w:snapToGrid w:val="0"/>
                <w:color w:val="000000"/>
              </w:rPr>
            </w:pPr>
          </w:p>
          <w:p w:rsidR="00000000" w:rsidRDefault="00C40079">
            <w:pPr>
              <w:tabs>
                <w:tab w:val="left" w:pos="720"/>
                <w:tab w:val="left" w:pos="1080"/>
                <w:tab w:val="left" w:pos="1440"/>
                <w:tab w:val="left" w:pos="1800"/>
                <w:tab w:val="left" w:pos="2160"/>
              </w:tabs>
              <w:jc w:val="center"/>
              <w:rPr>
                <w:b/>
                <w:snapToGrid w:val="0"/>
                <w:color w:val="000000"/>
              </w:rPr>
            </w:pPr>
            <w:r>
              <w:rPr>
                <w:b/>
                <w:snapToGrid w:val="0"/>
                <w:color w:val="000000"/>
              </w:rPr>
              <w:t>2009</w:t>
            </w:r>
          </w:p>
        </w:tc>
        <w:tc>
          <w:tcPr>
            <w:tcW w:w="720" w:type="dxa"/>
            <w:tcBorders>
              <w:top w:val="single" w:sz="12" w:space="0" w:color="auto"/>
              <w:left w:val="single" w:sz="6" w:space="0" w:color="auto"/>
              <w:bottom w:val="single" w:sz="12" w:space="0" w:color="auto"/>
              <w:right w:val="single" w:sz="12" w:space="0" w:color="auto"/>
            </w:tcBorders>
          </w:tcPr>
          <w:p w:rsidR="00000000" w:rsidRDefault="00C40079">
            <w:pPr>
              <w:pStyle w:val="Level2"/>
              <w:tabs>
                <w:tab w:val="left" w:pos="720"/>
                <w:tab w:val="left" w:pos="1080"/>
                <w:tab w:val="left" w:pos="1440"/>
                <w:tab w:val="left" w:pos="1800"/>
                <w:tab w:val="left" w:pos="2160"/>
              </w:tabs>
              <w:jc w:val="center"/>
              <w:rPr>
                <w:b/>
                <w:sz w:val="20"/>
              </w:rPr>
            </w:pPr>
            <w:r>
              <w:rPr>
                <w:b/>
                <w:snapToGrid w:val="0"/>
                <w:color w:val="000000"/>
                <w:sz w:val="20"/>
              </w:rPr>
              <w:t>(2009-2002)</w:t>
            </w:r>
          </w:p>
        </w:tc>
        <w:tc>
          <w:tcPr>
            <w:tcW w:w="900" w:type="dxa"/>
            <w:tcBorders>
              <w:top w:val="single" w:sz="12" w:space="0" w:color="auto"/>
              <w:left w:val="single" w:sz="12" w:space="0" w:color="auto"/>
              <w:bottom w:val="single" w:sz="12" w:space="0" w:color="auto"/>
              <w:right w:val="single" w:sz="6" w:space="0" w:color="auto"/>
            </w:tcBorders>
          </w:tcPr>
          <w:p w:rsidR="00000000" w:rsidRDefault="00C40079">
            <w:pPr>
              <w:tabs>
                <w:tab w:val="left" w:pos="720"/>
                <w:tab w:val="left" w:pos="1080"/>
                <w:tab w:val="left" w:pos="1440"/>
                <w:tab w:val="left" w:pos="1800"/>
                <w:tab w:val="left" w:pos="2160"/>
              </w:tabs>
              <w:jc w:val="center"/>
              <w:rPr>
                <w:b/>
                <w:snapToGrid w:val="0"/>
                <w:color w:val="000000"/>
              </w:rPr>
            </w:pPr>
          </w:p>
          <w:p w:rsidR="00000000" w:rsidRDefault="00C40079">
            <w:pPr>
              <w:tabs>
                <w:tab w:val="left" w:pos="720"/>
                <w:tab w:val="left" w:pos="1080"/>
                <w:tab w:val="left" w:pos="1440"/>
                <w:tab w:val="left" w:pos="1800"/>
                <w:tab w:val="left" w:pos="2160"/>
              </w:tabs>
              <w:jc w:val="center"/>
              <w:rPr>
                <w:b/>
                <w:snapToGrid w:val="0"/>
                <w:color w:val="000000"/>
              </w:rPr>
            </w:pPr>
            <w:r>
              <w:rPr>
                <w:b/>
                <w:snapToGrid w:val="0"/>
                <w:color w:val="000000"/>
              </w:rPr>
              <w:t>2002</w:t>
            </w:r>
          </w:p>
        </w:tc>
        <w:tc>
          <w:tcPr>
            <w:tcW w:w="900" w:type="dxa"/>
            <w:tcBorders>
              <w:top w:val="single" w:sz="12" w:space="0" w:color="auto"/>
              <w:left w:val="single" w:sz="6" w:space="0" w:color="auto"/>
              <w:bottom w:val="single" w:sz="12" w:space="0" w:color="auto"/>
              <w:right w:val="single" w:sz="6" w:space="0" w:color="auto"/>
            </w:tcBorders>
          </w:tcPr>
          <w:p w:rsidR="00000000" w:rsidRDefault="00C40079">
            <w:pPr>
              <w:tabs>
                <w:tab w:val="left" w:pos="720"/>
                <w:tab w:val="left" w:pos="1080"/>
                <w:tab w:val="left" w:pos="1440"/>
                <w:tab w:val="left" w:pos="1800"/>
                <w:tab w:val="left" w:pos="2160"/>
              </w:tabs>
              <w:jc w:val="center"/>
              <w:rPr>
                <w:b/>
                <w:snapToGrid w:val="0"/>
                <w:color w:val="000000"/>
              </w:rPr>
            </w:pPr>
          </w:p>
          <w:p w:rsidR="00000000" w:rsidRDefault="00C40079">
            <w:pPr>
              <w:tabs>
                <w:tab w:val="left" w:pos="720"/>
                <w:tab w:val="left" w:pos="1080"/>
                <w:tab w:val="left" w:pos="1440"/>
                <w:tab w:val="left" w:pos="1800"/>
                <w:tab w:val="left" w:pos="2160"/>
              </w:tabs>
              <w:jc w:val="center"/>
              <w:rPr>
                <w:b/>
                <w:snapToGrid w:val="0"/>
                <w:color w:val="000000"/>
              </w:rPr>
            </w:pPr>
            <w:r>
              <w:rPr>
                <w:b/>
                <w:snapToGrid w:val="0"/>
                <w:color w:val="000000"/>
              </w:rPr>
              <w:t>2009</w:t>
            </w:r>
          </w:p>
        </w:tc>
        <w:tc>
          <w:tcPr>
            <w:tcW w:w="900" w:type="dxa"/>
            <w:tcBorders>
              <w:top w:val="single" w:sz="12" w:space="0" w:color="auto"/>
              <w:left w:val="single" w:sz="6" w:space="0" w:color="auto"/>
              <w:bottom w:val="single" w:sz="12" w:space="0" w:color="auto"/>
              <w:right w:val="single" w:sz="12" w:space="0" w:color="auto"/>
            </w:tcBorders>
          </w:tcPr>
          <w:p w:rsidR="00000000" w:rsidRDefault="00C40079">
            <w:pPr>
              <w:pStyle w:val="Level2"/>
              <w:tabs>
                <w:tab w:val="left" w:pos="720"/>
                <w:tab w:val="left" w:pos="1080"/>
                <w:tab w:val="left" w:pos="1440"/>
                <w:tab w:val="left" w:pos="1800"/>
                <w:tab w:val="left" w:pos="2160"/>
              </w:tabs>
              <w:jc w:val="center"/>
              <w:rPr>
                <w:b/>
                <w:sz w:val="20"/>
              </w:rPr>
            </w:pPr>
            <w:r>
              <w:rPr>
                <w:b/>
                <w:snapToGrid w:val="0"/>
                <w:color w:val="000000"/>
                <w:sz w:val="20"/>
              </w:rPr>
              <w:t>(2009-2002)</w:t>
            </w:r>
          </w:p>
        </w:tc>
      </w:tr>
      <w:tr w:rsidR="00000000">
        <w:tblPrEx>
          <w:tblCellMar>
            <w:top w:w="0" w:type="dxa"/>
            <w:bottom w:w="0" w:type="dxa"/>
          </w:tblCellMar>
        </w:tblPrEx>
        <w:trPr>
          <w:trHeight w:val="253"/>
        </w:trPr>
        <w:tc>
          <w:tcPr>
            <w:tcW w:w="1440" w:type="dxa"/>
            <w:tcBorders>
              <w:top w:val="single" w:sz="6" w:space="0" w:color="auto"/>
              <w:left w:val="single" w:sz="12"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rPr>
                <w:snapToGrid w:val="0"/>
                <w:color w:val="000000"/>
              </w:rPr>
            </w:pPr>
            <w:r>
              <w:rPr>
                <w:snapToGrid w:val="0"/>
                <w:color w:val="000000"/>
              </w:rPr>
              <w:t>BERGEN</w:t>
            </w:r>
          </w:p>
        </w:tc>
        <w:tc>
          <w:tcPr>
            <w:tcW w:w="720" w:type="dxa"/>
            <w:tcBorders>
              <w:top w:val="single" w:sz="12" w:space="0" w:color="auto"/>
              <w:left w:val="single" w:sz="12"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w:t>
            </w:r>
            <w:r>
              <w:rPr>
                <w:snapToGrid w:val="0"/>
                <w:color w:val="000000"/>
              </w:rPr>
              <w:t>,815</w:t>
            </w:r>
          </w:p>
        </w:tc>
        <w:tc>
          <w:tcPr>
            <w:tcW w:w="720" w:type="dxa"/>
            <w:tcBorders>
              <w:top w:val="single" w:sz="12" w:space="0" w:color="auto"/>
              <w:left w:val="single" w:sz="6"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3,019</w:t>
            </w:r>
          </w:p>
        </w:tc>
        <w:tc>
          <w:tcPr>
            <w:tcW w:w="720" w:type="dxa"/>
            <w:tcBorders>
              <w:top w:val="single" w:sz="12" w:space="0" w:color="auto"/>
              <w:left w:val="single" w:sz="6"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+204</w:t>
            </w:r>
          </w:p>
        </w:tc>
        <w:tc>
          <w:tcPr>
            <w:tcW w:w="720" w:type="dxa"/>
            <w:tcBorders>
              <w:top w:val="single" w:sz="12" w:space="0" w:color="auto"/>
              <w:left w:val="single" w:sz="12"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6,707</w:t>
            </w:r>
          </w:p>
        </w:tc>
        <w:tc>
          <w:tcPr>
            <w:tcW w:w="720" w:type="dxa"/>
            <w:tcBorders>
              <w:top w:val="single" w:sz="12" w:space="0" w:color="auto"/>
              <w:left w:val="single" w:sz="6"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5,178</w:t>
            </w:r>
          </w:p>
        </w:tc>
        <w:tc>
          <w:tcPr>
            <w:tcW w:w="720" w:type="dxa"/>
            <w:tcBorders>
              <w:top w:val="single" w:sz="12" w:space="0" w:color="auto"/>
              <w:left w:val="single" w:sz="6"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-1,530</w:t>
            </w:r>
          </w:p>
        </w:tc>
        <w:tc>
          <w:tcPr>
            <w:tcW w:w="720" w:type="dxa"/>
            <w:tcBorders>
              <w:top w:val="single" w:sz="12" w:space="0" w:color="auto"/>
              <w:left w:val="single" w:sz="12"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988</w:t>
            </w:r>
          </w:p>
        </w:tc>
        <w:tc>
          <w:tcPr>
            <w:tcW w:w="720" w:type="dxa"/>
            <w:tcBorders>
              <w:top w:val="single" w:sz="12" w:space="0" w:color="auto"/>
              <w:left w:val="single" w:sz="6"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1,189</w:t>
            </w:r>
          </w:p>
        </w:tc>
        <w:tc>
          <w:tcPr>
            <w:tcW w:w="720" w:type="dxa"/>
            <w:tcBorders>
              <w:top w:val="single" w:sz="12" w:space="0" w:color="auto"/>
              <w:left w:val="single" w:sz="6"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+201</w:t>
            </w:r>
          </w:p>
        </w:tc>
        <w:tc>
          <w:tcPr>
            <w:tcW w:w="900" w:type="dxa"/>
            <w:tcBorders>
              <w:top w:val="single" w:sz="12" w:space="0" w:color="auto"/>
              <w:left w:val="single" w:sz="12" w:space="0" w:color="auto"/>
              <w:bottom w:val="single" w:sz="6" w:space="0" w:color="auto"/>
              <w:right w:val="single" w:sz="6" w:space="0" w:color="auto"/>
            </w:tcBorders>
          </w:tcPr>
          <w:p w:rsidR="00000000" w:rsidRDefault="00C40079">
            <w:pPr>
              <w:jc w:val="right"/>
              <w:rPr>
                <w:snapToGrid w:val="0"/>
                <w:color w:val="000000"/>
              </w:rPr>
            </w:pPr>
            <w:r>
              <w:rPr>
                <w:snapToGrid w:val="0"/>
                <w:color w:val="000000"/>
              </w:rPr>
              <w:t>23,917</w:t>
            </w:r>
          </w:p>
        </w:tc>
        <w:tc>
          <w:tcPr>
            <w:tcW w:w="900" w:type="dxa"/>
            <w:tcBorders>
              <w:top w:val="single" w:sz="12" w:space="0" w:color="auto"/>
              <w:left w:val="single" w:sz="6" w:space="0" w:color="auto"/>
              <w:bottom w:val="single" w:sz="6" w:space="0" w:color="auto"/>
              <w:right w:val="single" w:sz="6" w:space="0" w:color="auto"/>
            </w:tcBorders>
          </w:tcPr>
          <w:p w:rsidR="00000000" w:rsidRDefault="00C40079">
            <w:pPr>
              <w:jc w:val="right"/>
              <w:rPr>
                <w:snapToGrid w:val="0"/>
                <w:color w:val="000000"/>
              </w:rPr>
            </w:pPr>
            <w:r>
              <w:rPr>
                <w:snapToGrid w:val="0"/>
                <w:color w:val="000000"/>
              </w:rPr>
              <w:t>11,198</w:t>
            </w:r>
          </w:p>
        </w:tc>
        <w:tc>
          <w:tcPr>
            <w:tcW w:w="900" w:type="dxa"/>
            <w:tcBorders>
              <w:top w:val="single" w:sz="12" w:space="0" w:color="auto"/>
              <w:left w:val="single" w:sz="6" w:space="0" w:color="auto"/>
              <w:bottom w:val="single" w:sz="6" w:space="0" w:color="auto"/>
              <w:right w:val="single" w:sz="12" w:space="0" w:color="auto"/>
            </w:tcBorders>
          </w:tcPr>
          <w:p w:rsidR="00000000" w:rsidRDefault="00C40079">
            <w:pPr>
              <w:jc w:val="right"/>
              <w:rPr>
                <w:snapToGrid w:val="0"/>
                <w:color w:val="000000"/>
              </w:rPr>
            </w:pPr>
            <w:r>
              <w:rPr>
                <w:snapToGrid w:val="0"/>
                <w:color w:val="000000"/>
              </w:rPr>
              <w:t>-12,719</w:t>
            </w:r>
          </w:p>
        </w:tc>
      </w:tr>
      <w:tr w:rsidR="00000000">
        <w:tblPrEx>
          <w:tblCellMar>
            <w:top w:w="0" w:type="dxa"/>
            <w:bottom w:w="0" w:type="dxa"/>
          </w:tblCellMar>
        </w:tblPrEx>
        <w:trPr>
          <w:trHeight w:val="253"/>
        </w:trPr>
        <w:tc>
          <w:tcPr>
            <w:tcW w:w="1440" w:type="dxa"/>
            <w:tcBorders>
              <w:top w:val="single" w:sz="6" w:space="0" w:color="auto"/>
              <w:left w:val="single" w:sz="12"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rPr>
                <w:snapToGrid w:val="0"/>
                <w:color w:val="000000"/>
              </w:rPr>
            </w:pPr>
            <w:r>
              <w:rPr>
                <w:snapToGrid w:val="0"/>
                <w:color w:val="000000"/>
              </w:rPr>
              <w:t>ESSEX</w:t>
            </w:r>
          </w:p>
        </w:tc>
        <w:tc>
          <w:tcPr>
            <w:tcW w:w="720" w:type="dxa"/>
            <w:tcBorders>
              <w:top w:val="single" w:sz="6" w:space="0" w:color="auto"/>
              <w:left w:val="single" w:sz="12"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2,436</w:t>
            </w:r>
          </w:p>
        </w:tc>
        <w:tc>
          <w:tcPr>
            <w:tcW w:w="720" w:type="dxa"/>
            <w:tcBorders>
              <w:top w:val="single" w:sz="6" w:space="0" w:color="auto"/>
              <w:left w:val="single" w:sz="6"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2,621</w:t>
            </w:r>
          </w:p>
        </w:tc>
        <w:tc>
          <w:tcPr>
            <w:tcW w:w="720" w:type="dxa"/>
            <w:tcBorders>
              <w:top w:val="single" w:sz="6" w:space="0" w:color="auto"/>
              <w:left w:val="single" w:sz="6"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+185</w:t>
            </w:r>
          </w:p>
        </w:tc>
        <w:tc>
          <w:tcPr>
            <w:tcW w:w="720" w:type="dxa"/>
            <w:tcBorders>
              <w:top w:val="single" w:sz="6" w:space="0" w:color="auto"/>
              <w:left w:val="single" w:sz="12"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8,137</w:t>
            </w:r>
          </w:p>
        </w:tc>
        <w:tc>
          <w:tcPr>
            <w:tcW w:w="720" w:type="dxa"/>
            <w:tcBorders>
              <w:top w:val="single" w:sz="6" w:space="0" w:color="auto"/>
              <w:left w:val="single" w:sz="6"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7,048</w:t>
            </w:r>
          </w:p>
        </w:tc>
        <w:tc>
          <w:tcPr>
            <w:tcW w:w="720" w:type="dxa"/>
            <w:tcBorders>
              <w:top w:val="single" w:sz="6" w:space="0" w:color="auto"/>
              <w:left w:val="single" w:sz="6"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-1,090</w:t>
            </w:r>
          </w:p>
        </w:tc>
        <w:tc>
          <w:tcPr>
            <w:tcW w:w="720" w:type="dxa"/>
            <w:tcBorders>
              <w:top w:val="single" w:sz="6" w:space="0" w:color="auto"/>
              <w:left w:val="single" w:sz="12"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2,441</w:t>
            </w:r>
          </w:p>
        </w:tc>
        <w:tc>
          <w:tcPr>
            <w:tcW w:w="720" w:type="dxa"/>
            <w:tcBorders>
              <w:top w:val="single" w:sz="6" w:space="0" w:color="auto"/>
              <w:left w:val="single" w:sz="6"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3,081</w:t>
            </w:r>
          </w:p>
        </w:tc>
        <w:tc>
          <w:tcPr>
            <w:tcW w:w="720" w:type="dxa"/>
            <w:tcBorders>
              <w:top w:val="single" w:sz="6" w:space="0" w:color="auto"/>
              <w:left w:val="single" w:sz="6"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+640</w:t>
            </w:r>
          </w:p>
        </w:tc>
        <w:tc>
          <w:tcPr>
            <w:tcW w:w="900" w:type="dxa"/>
            <w:tcBorders>
              <w:top w:val="single" w:sz="6" w:space="0" w:color="auto"/>
              <w:left w:val="single" w:sz="12" w:space="0" w:color="auto"/>
              <w:bottom w:val="single" w:sz="6" w:space="0" w:color="auto"/>
              <w:right w:val="single" w:sz="6" w:space="0" w:color="auto"/>
            </w:tcBorders>
          </w:tcPr>
          <w:p w:rsidR="00000000" w:rsidRDefault="00C40079">
            <w:pPr>
              <w:jc w:val="right"/>
              <w:rPr>
                <w:snapToGrid w:val="0"/>
                <w:color w:val="000000"/>
              </w:rPr>
            </w:pPr>
            <w:r>
              <w:rPr>
                <w:snapToGrid w:val="0"/>
                <w:color w:val="000000"/>
              </w:rPr>
              <w:t>16,537</w:t>
            </w:r>
          </w:p>
        </w:tc>
        <w:tc>
          <w:tcPr>
            <w:tcW w:w="900" w:type="dxa"/>
            <w:tcBorders>
              <w:top w:val="single" w:sz="6" w:space="0" w:color="auto"/>
              <w:left w:val="single" w:sz="6" w:space="0" w:color="auto"/>
              <w:bottom w:val="single" w:sz="6" w:space="0" w:color="auto"/>
              <w:right w:val="single" w:sz="6" w:space="0" w:color="auto"/>
            </w:tcBorders>
          </w:tcPr>
          <w:p w:rsidR="00000000" w:rsidRDefault="00C40079">
            <w:pPr>
              <w:jc w:val="right"/>
              <w:rPr>
                <w:snapToGrid w:val="0"/>
                <w:color w:val="000000"/>
              </w:rPr>
            </w:pPr>
            <w:r>
              <w:rPr>
                <w:snapToGrid w:val="0"/>
                <w:color w:val="000000"/>
              </w:rPr>
              <w:t>7,979</w:t>
            </w:r>
          </w:p>
        </w:tc>
        <w:tc>
          <w:tcPr>
            <w:tcW w:w="900" w:type="dxa"/>
            <w:tcBorders>
              <w:top w:val="single" w:sz="6" w:space="0" w:color="auto"/>
              <w:left w:val="single" w:sz="6" w:space="0" w:color="auto"/>
              <w:bottom w:val="single" w:sz="6" w:space="0" w:color="auto"/>
              <w:right w:val="single" w:sz="12" w:space="0" w:color="auto"/>
            </w:tcBorders>
          </w:tcPr>
          <w:p w:rsidR="00000000" w:rsidRDefault="00C40079">
            <w:pPr>
              <w:jc w:val="right"/>
              <w:rPr>
                <w:snapToGrid w:val="0"/>
                <w:color w:val="000000"/>
              </w:rPr>
            </w:pPr>
            <w:r>
              <w:rPr>
                <w:snapToGrid w:val="0"/>
                <w:color w:val="000000"/>
              </w:rPr>
              <w:t>-8,558</w:t>
            </w:r>
          </w:p>
        </w:tc>
      </w:tr>
      <w:tr w:rsidR="00000000">
        <w:tblPrEx>
          <w:tblCellMar>
            <w:top w:w="0" w:type="dxa"/>
            <w:bottom w:w="0" w:type="dxa"/>
          </w:tblCellMar>
        </w:tblPrEx>
        <w:trPr>
          <w:trHeight w:val="253"/>
        </w:trPr>
        <w:tc>
          <w:tcPr>
            <w:tcW w:w="1440" w:type="dxa"/>
            <w:tcBorders>
              <w:top w:val="single" w:sz="6" w:space="0" w:color="auto"/>
              <w:left w:val="single" w:sz="12"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rPr>
                <w:snapToGrid w:val="0"/>
                <w:color w:val="000000"/>
              </w:rPr>
            </w:pPr>
            <w:r>
              <w:rPr>
                <w:snapToGrid w:val="0"/>
                <w:color w:val="000000"/>
              </w:rPr>
              <w:t>HUDSON</w:t>
            </w:r>
          </w:p>
        </w:tc>
        <w:tc>
          <w:tcPr>
            <w:tcW w:w="720" w:type="dxa"/>
            <w:tcBorders>
              <w:top w:val="single" w:sz="6" w:space="0" w:color="auto"/>
              <w:left w:val="single" w:sz="12"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1,735</w:t>
            </w:r>
          </w:p>
        </w:tc>
        <w:tc>
          <w:tcPr>
            <w:tcW w:w="720" w:type="dxa"/>
            <w:tcBorders>
              <w:top w:val="single" w:sz="6" w:space="0" w:color="auto"/>
              <w:left w:val="single" w:sz="6"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1,864</w:t>
            </w:r>
          </w:p>
        </w:tc>
        <w:tc>
          <w:tcPr>
            <w:tcW w:w="720" w:type="dxa"/>
            <w:tcBorders>
              <w:top w:val="single" w:sz="6" w:space="0" w:color="auto"/>
              <w:left w:val="single" w:sz="6"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+129</w:t>
            </w:r>
          </w:p>
        </w:tc>
        <w:tc>
          <w:tcPr>
            <w:tcW w:w="720" w:type="dxa"/>
            <w:tcBorders>
              <w:top w:val="single" w:sz="6" w:space="0" w:color="auto"/>
              <w:left w:val="single" w:sz="12"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5,976</w:t>
            </w:r>
          </w:p>
        </w:tc>
        <w:tc>
          <w:tcPr>
            <w:tcW w:w="720" w:type="dxa"/>
            <w:tcBorders>
              <w:top w:val="single" w:sz="6" w:space="0" w:color="auto"/>
              <w:left w:val="single" w:sz="6"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5,291</w:t>
            </w:r>
          </w:p>
        </w:tc>
        <w:tc>
          <w:tcPr>
            <w:tcW w:w="720" w:type="dxa"/>
            <w:tcBorders>
              <w:top w:val="single" w:sz="6" w:space="0" w:color="auto"/>
              <w:left w:val="single" w:sz="6"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-685</w:t>
            </w:r>
          </w:p>
        </w:tc>
        <w:tc>
          <w:tcPr>
            <w:tcW w:w="720" w:type="dxa"/>
            <w:tcBorders>
              <w:top w:val="single" w:sz="6" w:space="0" w:color="auto"/>
              <w:left w:val="single" w:sz="12"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9,674</w:t>
            </w:r>
          </w:p>
        </w:tc>
        <w:tc>
          <w:tcPr>
            <w:tcW w:w="720" w:type="dxa"/>
            <w:tcBorders>
              <w:top w:val="single" w:sz="6" w:space="0" w:color="auto"/>
              <w:left w:val="single" w:sz="6"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9,970</w:t>
            </w:r>
          </w:p>
        </w:tc>
        <w:tc>
          <w:tcPr>
            <w:tcW w:w="720" w:type="dxa"/>
            <w:tcBorders>
              <w:top w:val="single" w:sz="6" w:space="0" w:color="auto"/>
              <w:left w:val="single" w:sz="6"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+296</w:t>
            </w:r>
          </w:p>
        </w:tc>
        <w:tc>
          <w:tcPr>
            <w:tcW w:w="900" w:type="dxa"/>
            <w:tcBorders>
              <w:top w:val="single" w:sz="6" w:space="0" w:color="auto"/>
              <w:left w:val="single" w:sz="12" w:space="0" w:color="auto"/>
              <w:bottom w:val="single" w:sz="6" w:space="0" w:color="auto"/>
              <w:right w:val="single" w:sz="6" w:space="0" w:color="auto"/>
            </w:tcBorders>
          </w:tcPr>
          <w:p w:rsidR="00000000" w:rsidRDefault="00C40079">
            <w:pPr>
              <w:jc w:val="right"/>
              <w:rPr>
                <w:snapToGrid w:val="0"/>
                <w:color w:val="000000"/>
              </w:rPr>
            </w:pPr>
            <w:r>
              <w:rPr>
                <w:snapToGrid w:val="0"/>
                <w:color w:val="000000"/>
              </w:rPr>
              <w:t>7,853</w:t>
            </w:r>
          </w:p>
        </w:tc>
        <w:tc>
          <w:tcPr>
            <w:tcW w:w="900" w:type="dxa"/>
            <w:tcBorders>
              <w:top w:val="single" w:sz="6" w:space="0" w:color="auto"/>
              <w:left w:val="single" w:sz="6" w:space="0" w:color="auto"/>
              <w:bottom w:val="single" w:sz="6" w:space="0" w:color="auto"/>
              <w:right w:val="single" w:sz="6" w:space="0" w:color="auto"/>
            </w:tcBorders>
          </w:tcPr>
          <w:p w:rsidR="00000000" w:rsidRDefault="00C40079">
            <w:pPr>
              <w:jc w:val="right"/>
              <w:rPr>
                <w:snapToGrid w:val="0"/>
                <w:color w:val="000000"/>
              </w:rPr>
            </w:pPr>
            <w:r>
              <w:rPr>
                <w:snapToGrid w:val="0"/>
                <w:color w:val="000000"/>
              </w:rPr>
              <w:t>3,873</w:t>
            </w:r>
          </w:p>
        </w:tc>
        <w:tc>
          <w:tcPr>
            <w:tcW w:w="900" w:type="dxa"/>
            <w:tcBorders>
              <w:top w:val="single" w:sz="6" w:space="0" w:color="auto"/>
              <w:left w:val="single" w:sz="6" w:space="0" w:color="auto"/>
              <w:bottom w:val="single" w:sz="6" w:space="0" w:color="auto"/>
              <w:right w:val="single" w:sz="12" w:space="0" w:color="auto"/>
            </w:tcBorders>
          </w:tcPr>
          <w:p w:rsidR="00000000" w:rsidRDefault="00C40079">
            <w:pPr>
              <w:jc w:val="right"/>
              <w:rPr>
                <w:snapToGrid w:val="0"/>
                <w:color w:val="000000"/>
              </w:rPr>
            </w:pPr>
            <w:r>
              <w:rPr>
                <w:snapToGrid w:val="0"/>
                <w:color w:val="000000"/>
              </w:rPr>
              <w:t>-3,980</w:t>
            </w:r>
          </w:p>
        </w:tc>
      </w:tr>
      <w:tr w:rsidR="00000000">
        <w:tblPrEx>
          <w:tblCellMar>
            <w:top w:w="0" w:type="dxa"/>
            <w:bottom w:w="0" w:type="dxa"/>
          </w:tblCellMar>
        </w:tblPrEx>
        <w:trPr>
          <w:trHeight w:val="253"/>
        </w:trPr>
        <w:tc>
          <w:tcPr>
            <w:tcW w:w="1440" w:type="dxa"/>
            <w:tcBorders>
              <w:top w:val="single" w:sz="6" w:space="0" w:color="auto"/>
              <w:left w:val="single" w:sz="12"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rPr>
                <w:snapToGrid w:val="0"/>
                <w:color w:val="000000"/>
              </w:rPr>
            </w:pPr>
            <w:r>
              <w:rPr>
                <w:snapToGrid w:val="0"/>
                <w:color w:val="000000"/>
              </w:rPr>
              <w:t>MERCER</w:t>
            </w:r>
          </w:p>
        </w:tc>
        <w:tc>
          <w:tcPr>
            <w:tcW w:w="720" w:type="dxa"/>
            <w:tcBorders>
              <w:top w:val="single" w:sz="6" w:space="0" w:color="auto"/>
              <w:left w:val="single" w:sz="12"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1,257</w:t>
            </w:r>
          </w:p>
        </w:tc>
        <w:tc>
          <w:tcPr>
            <w:tcW w:w="720" w:type="dxa"/>
            <w:tcBorders>
              <w:top w:val="single" w:sz="6" w:space="0" w:color="auto"/>
              <w:left w:val="single" w:sz="6"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1,354</w:t>
            </w:r>
          </w:p>
        </w:tc>
        <w:tc>
          <w:tcPr>
            <w:tcW w:w="720" w:type="dxa"/>
            <w:tcBorders>
              <w:top w:val="single" w:sz="6" w:space="0" w:color="auto"/>
              <w:left w:val="single" w:sz="6"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+97</w:t>
            </w:r>
          </w:p>
        </w:tc>
        <w:tc>
          <w:tcPr>
            <w:tcW w:w="720" w:type="dxa"/>
            <w:tcBorders>
              <w:top w:val="single" w:sz="6" w:space="0" w:color="auto"/>
              <w:left w:val="single" w:sz="12"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w:t>
            </w:r>
            <w:r>
              <w:rPr>
                <w:snapToGrid w:val="0"/>
                <w:color w:val="000000"/>
              </w:rPr>
              <w:t>427</w:t>
            </w:r>
          </w:p>
        </w:tc>
        <w:tc>
          <w:tcPr>
            <w:tcW w:w="720" w:type="dxa"/>
            <w:tcBorders>
              <w:top w:val="single" w:sz="6" w:space="0" w:color="auto"/>
              <w:left w:val="single" w:sz="6"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1,898</w:t>
            </w:r>
          </w:p>
        </w:tc>
        <w:tc>
          <w:tcPr>
            <w:tcW w:w="720" w:type="dxa"/>
            <w:tcBorders>
              <w:top w:val="single" w:sz="6" w:space="0" w:color="auto"/>
              <w:left w:val="single" w:sz="6"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-529</w:t>
            </w:r>
          </w:p>
        </w:tc>
        <w:tc>
          <w:tcPr>
            <w:tcW w:w="720" w:type="dxa"/>
            <w:tcBorders>
              <w:top w:val="single" w:sz="6" w:space="0" w:color="auto"/>
              <w:left w:val="single" w:sz="12"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13,034</w:t>
            </w:r>
          </w:p>
        </w:tc>
        <w:tc>
          <w:tcPr>
            <w:tcW w:w="720" w:type="dxa"/>
            <w:tcBorders>
              <w:top w:val="single" w:sz="6" w:space="0" w:color="auto"/>
              <w:left w:val="single" w:sz="6"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13,201</w:t>
            </w:r>
          </w:p>
        </w:tc>
        <w:tc>
          <w:tcPr>
            <w:tcW w:w="720" w:type="dxa"/>
            <w:tcBorders>
              <w:top w:val="single" w:sz="6" w:space="0" w:color="auto"/>
              <w:left w:val="single" w:sz="6"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+167</w:t>
            </w:r>
          </w:p>
        </w:tc>
        <w:tc>
          <w:tcPr>
            <w:tcW w:w="900" w:type="dxa"/>
            <w:tcBorders>
              <w:top w:val="single" w:sz="6" w:space="0" w:color="auto"/>
              <w:left w:val="single" w:sz="12" w:space="0" w:color="auto"/>
              <w:bottom w:val="single" w:sz="6" w:space="0" w:color="auto"/>
              <w:right w:val="single" w:sz="6" w:space="0" w:color="auto"/>
            </w:tcBorders>
          </w:tcPr>
          <w:p w:rsidR="00000000" w:rsidRDefault="00C40079">
            <w:pPr>
              <w:jc w:val="right"/>
              <w:rPr>
                <w:snapToGrid w:val="0"/>
                <w:color w:val="000000"/>
              </w:rPr>
            </w:pPr>
            <w:r>
              <w:rPr>
                <w:snapToGrid w:val="0"/>
                <w:color w:val="000000"/>
              </w:rPr>
              <w:t>8,505</w:t>
            </w:r>
          </w:p>
        </w:tc>
        <w:tc>
          <w:tcPr>
            <w:tcW w:w="900" w:type="dxa"/>
            <w:tcBorders>
              <w:top w:val="single" w:sz="6" w:space="0" w:color="auto"/>
              <w:left w:val="single" w:sz="6" w:space="0" w:color="auto"/>
              <w:bottom w:val="single" w:sz="6" w:space="0" w:color="auto"/>
              <w:right w:val="single" w:sz="6" w:space="0" w:color="auto"/>
            </w:tcBorders>
          </w:tcPr>
          <w:p w:rsidR="00000000" w:rsidRDefault="00C40079">
            <w:pPr>
              <w:jc w:val="right"/>
              <w:rPr>
                <w:snapToGrid w:val="0"/>
                <w:color w:val="000000"/>
              </w:rPr>
            </w:pPr>
            <w:r>
              <w:rPr>
                <w:snapToGrid w:val="0"/>
                <w:color w:val="000000"/>
              </w:rPr>
              <w:t>4,328</w:t>
            </w:r>
          </w:p>
        </w:tc>
        <w:tc>
          <w:tcPr>
            <w:tcW w:w="900" w:type="dxa"/>
            <w:tcBorders>
              <w:top w:val="single" w:sz="6" w:space="0" w:color="auto"/>
              <w:left w:val="single" w:sz="6" w:space="0" w:color="auto"/>
              <w:bottom w:val="single" w:sz="6" w:space="0" w:color="auto"/>
              <w:right w:val="single" w:sz="12" w:space="0" w:color="auto"/>
            </w:tcBorders>
          </w:tcPr>
          <w:p w:rsidR="00000000" w:rsidRDefault="00C40079">
            <w:pPr>
              <w:jc w:val="right"/>
              <w:rPr>
                <w:snapToGrid w:val="0"/>
                <w:color w:val="000000"/>
              </w:rPr>
            </w:pPr>
            <w:r>
              <w:rPr>
                <w:snapToGrid w:val="0"/>
                <w:color w:val="000000"/>
              </w:rPr>
              <w:t>-4,177</w:t>
            </w:r>
          </w:p>
        </w:tc>
      </w:tr>
      <w:tr w:rsidR="00000000">
        <w:tblPrEx>
          <w:tblCellMar>
            <w:top w:w="0" w:type="dxa"/>
            <w:bottom w:w="0" w:type="dxa"/>
          </w:tblCellMar>
        </w:tblPrEx>
        <w:trPr>
          <w:trHeight w:val="253"/>
        </w:trPr>
        <w:tc>
          <w:tcPr>
            <w:tcW w:w="1440" w:type="dxa"/>
            <w:tcBorders>
              <w:top w:val="single" w:sz="6" w:space="0" w:color="auto"/>
              <w:left w:val="single" w:sz="12"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rPr>
                <w:snapToGrid w:val="0"/>
                <w:color w:val="000000"/>
              </w:rPr>
            </w:pPr>
            <w:r>
              <w:rPr>
                <w:snapToGrid w:val="0"/>
                <w:color w:val="000000"/>
              </w:rPr>
              <w:t>MIDDLESEX</w:t>
            </w:r>
          </w:p>
        </w:tc>
        <w:tc>
          <w:tcPr>
            <w:tcW w:w="720" w:type="dxa"/>
            <w:tcBorders>
              <w:top w:val="single" w:sz="6" w:space="0" w:color="auto"/>
              <w:left w:val="single" w:sz="12"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2,343</w:t>
            </w:r>
          </w:p>
        </w:tc>
        <w:tc>
          <w:tcPr>
            <w:tcW w:w="720" w:type="dxa"/>
            <w:tcBorders>
              <w:top w:val="single" w:sz="6" w:space="0" w:color="auto"/>
              <w:left w:val="single" w:sz="6"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2,512</w:t>
            </w:r>
          </w:p>
        </w:tc>
        <w:tc>
          <w:tcPr>
            <w:tcW w:w="720" w:type="dxa"/>
            <w:tcBorders>
              <w:top w:val="single" w:sz="6" w:space="0" w:color="auto"/>
              <w:left w:val="single" w:sz="6"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+169</w:t>
            </w:r>
          </w:p>
        </w:tc>
        <w:tc>
          <w:tcPr>
            <w:tcW w:w="720" w:type="dxa"/>
            <w:tcBorders>
              <w:top w:val="single" w:sz="6" w:space="0" w:color="auto"/>
              <w:left w:val="single" w:sz="12"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4,849</w:t>
            </w:r>
          </w:p>
        </w:tc>
        <w:tc>
          <w:tcPr>
            <w:tcW w:w="720" w:type="dxa"/>
            <w:tcBorders>
              <w:top w:val="single" w:sz="6" w:space="0" w:color="auto"/>
              <w:left w:val="single" w:sz="6"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3,745</w:t>
            </w:r>
          </w:p>
        </w:tc>
        <w:tc>
          <w:tcPr>
            <w:tcW w:w="720" w:type="dxa"/>
            <w:tcBorders>
              <w:top w:val="single" w:sz="6" w:space="0" w:color="auto"/>
              <w:left w:val="single" w:sz="6"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-1,104</w:t>
            </w:r>
          </w:p>
        </w:tc>
        <w:tc>
          <w:tcPr>
            <w:tcW w:w="720" w:type="dxa"/>
            <w:tcBorders>
              <w:top w:val="single" w:sz="6" w:space="0" w:color="auto"/>
              <w:left w:val="single" w:sz="12"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3,567</w:t>
            </w:r>
          </w:p>
        </w:tc>
        <w:tc>
          <w:tcPr>
            <w:tcW w:w="720" w:type="dxa"/>
            <w:tcBorders>
              <w:top w:val="single" w:sz="6" w:space="0" w:color="auto"/>
              <w:left w:val="single" w:sz="6"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4,164</w:t>
            </w:r>
          </w:p>
        </w:tc>
        <w:tc>
          <w:tcPr>
            <w:tcW w:w="720" w:type="dxa"/>
            <w:tcBorders>
              <w:top w:val="single" w:sz="6" w:space="0" w:color="auto"/>
              <w:left w:val="single" w:sz="6"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+597</w:t>
            </w:r>
          </w:p>
        </w:tc>
        <w:tc>
          <w:tcPr>
            <w:tcW w:w="900" w:type="dxa"/>
            <w:tcBorders>
              <w:top w:val="single" w:sz="6" w:space="0" w:color="auto"/>
              <w:left w:val="single" w:sz="12" w:space="0" w:color="auto"/>
              <w:bottom w:val="single" w:sz="6" w:space="0" w:color="auto"/>
              <w:right w:val="single" w:sz="6" w:space="0" w:color="auto"/>
            </w:tcBorders>
          </w:tcPr>
          <w:p w:rsidR="00000000" w:rsidRDefault="00C40079">
            <w:pPr>
              <w:jc w:val="right"/>
              <w:rPr>
                <w:snapToGrid w:val="0"/>
                <w:color w:val="000000"/>
              </w:rPr>
            </w:pPr>
            <w:r>
              <w:rPr>
                <w:snapToGrid w:val="0"/>
                <w:color w:val="000000"/>
              </w:rPr>
              <w:t>22,147</w:t>
            </w:r>
          </w:p>
        </w:tc>
        <w:tc>
          <w:tcPr>
            <w:tcW w:w="900" w:type="dxa"/>
            <w:tcBorders>
              <w:top w:val="single" w:sz="6" w:space="0" w:color="auto"/>
              <w:left w:val="single" w:sz="6" w:space="0" w:color="auto"/>
              <w:bottom w:val="single" w:sz="6" w:space="0" w:color="auto"/>
              <w:right w:val="single" w:sz="6" w:space="0" w:color="auto"/>
            </w:tcBorders>
          </w:tcPr>
          <w:p w:rsidR="00000000" w:rsidRDefault="00C40079">
            <w:pPr>
              <w:jc w:val="right"/>
              <w:rPr>
                <w:snapToGrid w:val="0"/>
                <w:color w:val="000000"/>
              </w:rPr>
            </w:pPr>
            <w:r>
              <w:rPr>
                <w:snapToGrid w:val="0"/>
                <w:color w:val="000000"/>
              </w:rPr>
              <w:t>10,871</w:t>
            </w:r>
          </w:p>
        </w:tc>
        <w:tc>
          <w:tcPr>
            <w:tcW w:w="900" w:type="dxa"/>
            <w:tcBorders>
              <w:top w:val="single" w:sz="6" w:space="0" w:color="auto"/>
              <w:left w:val="single" w:sz="6" w:space="0" w:color="auto"/>
              <w:bottom w:val="single" w:sz="6" w:space="0" w:color="auto"/>
              <w:right w:val="single" w:sz="12" w:space="0" w:color="auto"/>
            </w:tcBorders>
          </w:tcPr>
          <w:p w:rsidR="00000000" w:rsidRDefault="00C40079">
            <w:pPr>
              <w:jc w:val="right"/>
              <w:rPr>
                <w:snapToGrid w:val="0"/>
                <w:color w:val="000000"/>
              </w:rPr>
            </w:pPr>
            <w:r>
              <w:rPr>
                <w:snapToGrid w:val="0"/>
                <w:color w:val="000000"/>
              </w:rPr>
              <w:t>-11,276</w:t>
            </w:r>
          </w:p>
        </w:tc>
      </w:tr>
      <w:tr w:rsidR="00000000">
        <w:tblPrEx>
          <w:tblCellMar>
            <w:top w:w="0" w:type="dxa"/>
            <w:bottom w:w="0" w:type="dxa"/>
          </w:tblCellMar>
        </w:tblPrEx>
        <w:trPr>
          <w:trHeight w:val="253"/>
        </w:trPr>
        <w:tc>
          <w:tcPr>
            <w:tcW w:w="1440" w:type="dxa"/>
            <w:tcBorders>
              <w:top w:val="single" w:sz="6" w:space="0" w:color="auto"/>
              <w:left w:val="single" w:sz="12"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rPr>
                <w:snapToGrid w:val="0"/>
                <w:color w:val="000000"/>
              </w:rPr>
            </w:pPr>
            <w:r>
              <w:rPr>
                <w:snapToGrid w:val="0"/>
                <w:color w:val="000000"/>
              </w:rPr>
              <w:t>MONMOUTH</w:t>
            </w:r>
          </w:p>
        </w:tc>
        <w:tc>
          <w:tcPr>
            <w:tcW w:w="720" w:type="dxa"/>
            <w:tcBorders>
              <w:top w:val="single" w:sz="6" w:space="0" w:color="auto"/>
              <w:left w:val="single" w:sz="12"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1,806</w:t>
            </w:r>
          </w:p>
        </w:tc>
        <w:tc>
          <w:tcPr>
            <w:tcW w:w="720" w:type="dxa"/>
            <w:tcBorders>
              <w:top w:val="single" w:sz="6" w:space="0" w:color="auto"/>
              <w:left w:val="single" w:sz="6"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1,934</w:t>
            </w:r>
          </w:p>
        </w:tc>
        <w:tc>
          <w:tcPr>
            <w:tcW w:w="720" w:type="dxa"/>
            <w:tcBorders>
              <w:top w:val="single" w:sz="6" w:space="0" w:color="auto"/>
              <w:left w:val="single" w:sz="6"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+128</w:t>
            </w:r>
          </w:p>
        </w:tc>
        <w:tc>
          <w:tcPr>
            <w:tcW w:w="720" w:type="dxa"/>
            <w:tcBorders>
              <w:top w:val="single" w:sz="6" w:space="0" w:color="auto"/>
              <w:left w:val="single" w:sz="12"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4,316</w:t>
            </w:r>
          </w:p>
        </w:tc>
        <w:tc>
          <w:tcPr>
            <w:tcW w:w="720" w:type="dxa"/>
            <w:tcBorders>
              <w:top w:val="single" w:sz="6" w:space="0" w:color="auto"/>
              <w:left w:val="single" w:sz="6"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3,846</w:t>
            </w:r>
          </w:p>
        </w:tc>
        <w:tc>
          <w:tcPr>
            <w:tcW w:w="720" w:type="dxa"/>
            <w:tcBorders>
              <w:top w:val="single" w:sz="6" w:space="0" w:color="auto"/>
              <w:left w:val="single" w:sz="6"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-470</w:t>
            </w:r>
          </w:p>
        </w:tc>
        <w:tc>
          <w:tcPr>
            <w:tcW w:w="720" w:type="dxa"/>
            <w:tcBorders>
              <w:top w:val="single" w:sz="6" w:space="0" w:color="auto"/>
              <w:left w:val="single" w:sz="12"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240</w:t>
            </w:r>
          </w:p>
        </w:tc>
        <w:tc>
          <w:tcPr>
            <w:tcW w:w="720" w:type="dxa"/>
            <w:tcBorders>
              <w:top w:val="single" w:sz="6" w:space="0" w:color="auto"/>
              <w:left w:val="single" w:sz="6"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272</w:t>
            </w:r>
          </w:p>
        </w:tc>
        <w:tc>
          <w:tcPr>
            <w:tcW w:w="720" w:type="dxa"/>
            <w:tcBorders>
              <w:top w:val="single" w:sz="6" w:space="0" w:color="auto"/>
              <w:left w:val="single" w:sz="6"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+31</w:t>
            </w:r>
          </w:p>
        </w:tc>
        <w:tc>
          <w:tcPr>
            <w:tcW w:w="900" w:type="dxa"/>
            <w:tcBorders>
              <w:top w:val="single" w:sz="6" w:space="0" w:color="auto"/>
              <w:left w:val="single" w:sz="12" w:space="0" w:color="auto"/>
              <w:bottom w:val="single" w:sz="6" w:space="0" w:color="auto"/>
              <w:right w:val="single" w:sz="6" w:space="0" w:color="auto"/>
            </w:tcBorders>
          </w:tcPr>
          <w:p w:rsidR="00000000" w:rsidRDefault="00C40079">
            <w:pPr>
              <w:jc w:val="right"/>
              <w:rPr>
                <w:snapToGrid w:val="0"/>
                <w:color w:val="000000"/>
              </w:rPr>
            </w:pPr>
            <w:r>
              <w:rPr>
                <w:snapToGrid w:val="0"/>
                <w:color w:val="000000"/>
              </w:rPr>
              <w:t>14,860</w:t>
            </w:r>
          </w:p>
        </w:tc>
        <w:tc>
          <w:tcPr>
            <w:tcW w:w="900" w:type="dxa"/>
            <w:tcBorders>
              <w:top w:val="single" w:sz="6" w:space="0" w:color="auto"/>
              <w:left w:val="single" w:sz="6" w:space="0" w:color="auto"/>
              <w:bottom w:val="single" w:sz="6" w:space="0" w:color="auto"/>
              <w:right w:val="single" w:sz="6" w:space="0" w:color="auto"/>
            </w:tcBorders>
          </w:tcPr>
          <w:p w:rsidR="00000000" w:rsidRDefault="00C40079">
            <w:pPr>
              <w:jc w:val="right"/>
              <w:rPr>
                <w:snapToGrid w:val="0"/>
                <w:color w:val="000000"/>
              </w:rPr>
            </w:pPr>
            <w:r>
              <w:rPr>
                <w:snapToGrid w:val="0"/>
                <w:color w:val="000000"/>
              </w:rPr>
              <w:t>6,973</w:t>
            </w:r>
          </w:p>
        </w:tc>
        <w:tc>
          <w:tcPr>
            <w:tcW w:w="900" w:type="dxa"/>
            <w:tcBorders>
              <w:top w:val="single" w:sz="6" w:space="0" w:color="auto"/>
              <w:left w:val="single" w:sz="6" w:space="0" w:color="auto"/>
              <w:bottom w:val="single" w:sz="6" w:space="0" w:color="auto"/>
              <w:right w:val="single" w:sz="12" w:space="0" w:color="auto"/>
            </w:tcBorders>
          </w:tcPr>
          <w:p w:rsidR="00000000" w:rsidRDefault="00C40079">
            <w:pPr>
              <w:jc w:val="right"/>
              <w:rPr>
                <w:snapToGrid w:val="0"/>
                <w:color w:val="000000"/>
              </w:rPr>
            </w:pPr>
            <w:r>
              <w:rPr>
                <w:snapToGrid w:val="0"/>
                <w:color w:val="000000"/>
              </w:rPr>
              <w:t>-7,887</w:t>
            </w:r>
          </w:p>
        </w:tc>
      </w:tr>
      <w:tr w:rsidR="00000000">
        <w:tblPrEx>
          <w:tblCellMar>
            <w:top w:w="0" w:type="dxa"/>
            <w:bottom w:w="0" w:type="dxa"/>
          </w:tblCellMar>
        </w:tblPrEx>
        <w:trPr>
          <w:trHeight w:val="253"/>
        </w:trPr>
        <w:tc>
          <w:tcPr>
            <w:tcW w:w="1440" w:type="dxa"/>
            <w:tcBorders>
              <w:top w:val="single" w:sz="6" w:space="0" w:color="auto"/>
              <w:left w:val="single" w:sz="12"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rPr>
                <w:snapToGrid w:val="0"/>
                <w:color w:val="000000"/>
              </w:rPr>
            </w:pPr>
            <w:r>
              <w:rPr>
                <w:snapToGrid w:val="0"/>
                <w:color w:val="000000"/>
              </w:rPr>
              <w:t>MORRIS</w:t>
            </w:r>
          </w:p>
        </w:tc>
        <w:tc>
          <w:tcPr>
            <w:tcW w:w="720" w:type="dxa"/>
            <w:tcBorders>
              <w:top w:val="single" w:sz="6" w:space="0" w:color="auto"/>
              <w:left w:val="single" w:sz="12"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1,752</w:t>
            </w:r>
          </w:p>
        </w:tc>
        <w:tc>
          <w:tcPr>
            <w:tcW w:w="720" w:type="dxa"/>
            <w:tcBorders>
              <w:top w:val="single" w:sz="6" w:space="0" w:color="auto"/>
              <w:left w:val="single" w:sz="6"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1,879</w:t>
            </w:r>
          </w:p>
        </w:tc>
        <w:tc>
          <w:tcPr>
            <w:tcW w:w="720" w:type="dxa"/>
            <w:tcBorders>
              <w:top w:val="single" w:sz="6" w:space="0" w:color="auto"/>
              <w:left w:val="single" w:sz="6"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+127</w:t>
            </w:r>
          </w:p>
        </w:tc>
        <w:tc>
          <w:tcPr>
            <w:tcW w:w="720" w:type="dxa"/>
            <w:tcBorders>
              <w:top w:val="single" w:sz="6" w:space="0" w:color="auto"/>
              <w:left w:val="single" w:sz="12"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3,151</w:t>
            </w:r>
          </w:p>
        </w:tc>
        <w:tc>
          <w:tcPr>
            <w:tcW w:w="720" w:type="dxa"/>
            <w:tcBorders>
              <w:top w:val="single" w:sz="6" w:space="0" w:color="auto"/>
              <w:left w:val="single" w:sz="6"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2,417</w:t>
            </w:r>
          </w:p>
        </w:tc>
        <w:tc>
          <w:tcPr>
            <w:tcW w:w="720" w:type="dxa"/>
            <w:tcBorders>
              <w:top w:val="single" w:sz="6" w:space="0" w:color="auto"/>
              <w:left w:val="single" w:sz="6"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-735</w:t>
            </w:r>
          </w:p>
        </w:tc>
        <w:tc>
          <w:tcPr>
            <w:tcW w:w="720" w:type="dxa"/>
            <w:tcBorders>
              <w:top w:val="single" w:sz="6" w:space="0" w:color="auto"/>
              <w:left w:val="single" w:sz="12"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284</w:t>
            </w:r>
          </w:p>
        </w:tc>
        <w:tc>
          <w:tcPr>
            <w:tcW w:w="720" w:type="dxa"/>
            <w:tcBorders>
              <w:top w:val="single" w:sz="6" w:space="0" w:color="auto"/>
              <w:left w:val="single" w:sz="6"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337</w:t>
            </w:r>
          </w:p>
        </w:tc>
        <w:tc>
          <w:tcPr>
            <w:tcW w:w="720" w:type="dxa"/>
            <w:tcBorders>
              <w:top w:val="single" w:sz="6" w:space="0" w:color="auto"/>
              <w:left w:val="single" w:sz="6"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+53</w:t>
            </w:r>
          </w:p>
        </w:tc>
        <w:tc>
          <w:tcPr>
            <w:tcW w:w="900" w:type="dxa"/>
            <w:tcBorders>
              <w:top w:val="single" w:sz="6" w:space="0" w:color="auto"/>
              <w:left w:val="single" w:sz="12" w:space="0" w:color="auto"/>
              <w:bottom w:val="single" w:sz="6" w:space="0" w:color="auto"/>
              <w:right w:val="single" w:sz="6" w:space="0" w:color="auto"/>
            </w:tcBorders>
          </w:tcPr>
          <w:p w:rsidR="00000000" w:rsidRDefault="00C40079">
            <w:pPr>
              <w:jc w:val="right"/>
              <w:rPr>
                <w:snapToGrid w:val="0"/>
                <w:color w:val="000000"/>
              </w:rPr>
            </w:pPr>
            <w:r>
              <w:rPr>
                <w:snapToGrid w:val="0"/>
                <w:color w:val="000000"/>
              </w:rPr>
              <w:t>13,748</w:t>
            </w:r>
          </w:p>
        </w:tc>
        <w:tc>
          <w:tcPr>
            <w:tcW w:w="900" w:type="dxa"/>
            <w:tcBorders>
              <w:top w:val="single" w:sz="6" w:space="0" w:color="auto"/>
              <w:left w:val="single" w:sz="6" w:space="0" w:color="auto"/>
              <w:bottom w:val="single" w:sz="6" w:space="0" w:color="auto"/>
              <w:right w:val="single" w:sz="6" w:space="0" w:color="auto"/>
            </w:tcBorders>
          </w:tcPr>
          <w:p w:rsidR="00000000" w:rsidRDefault="00C40079">
            <w:pPr>
              <w:jc w:val="right"/>
              <w:rPr>
                <w:snapToGrid w:val="0"/>
                <w:color w:val="000000"/>
              </w:rPr>
            </w:pPr>
            <w:r>
              <w:rPr>
                <w:snapToGrid w:val="0"/>
                <w:color w:val="000000"/>
              </w:rPr>
              <w:t>6,398</w:t>
            </w:r>
          </w:p>
        </w:tc>
        <w:tc>
          <w:tcPr>
            <w:tcW w:w="900" w:type="dxa"/>
            <w:tcBorders>
              <w:top w:val="single" w:sz="6" w:space="0" w:color="auto"/>
              <w:left w:val="single" w:sz="6" w:space="0" w:color="auto"/>
              <w:bottom w:val="single" w:sz="6" w:space="0" w:color="auto"/>
              <w:right w:val="single" w:sz="12" w:space="0" w:color="auto"/>
            </w:tcBorders>
          </w:tcPr>
          <w:p w:rsidR="00000000" w:rsidRDefault="00C40079">
            <w:pPr>
              <w:jc w:val="right"/>
              <w:rPr>
                <w:snapToGrid w:val="0"/>
                <w:color w:val="000000"/>
              </w:rPr>
            </w:pPr>
            <w:r>
              <w:rPr>
                <w:snapToGrid w:val="0"/>
                <w:color w:val="000000"/>
              </w:rPr>
              <w:t>-7,350</w:t>
            </w:r>
          </w:p>
        </w:tc>
      </w:tr>
      <w:tr w:rsidR="00000000">
        <w:tblPrEx>
          <w:tblCellMar>
            <w:top w:w="0" w:type="dxa"/>
            <w:bottom w:w="0" w:type="dxa"/>
          </w:tblCellMar>
        </w:tblPrEx>
        <w:trPr>
          <w:trHeight w:val="253"/>
        </w:trPr>
        <w:tc>
          <w:tcPr>
            <w:tcW w:w="1440" w:type="dxa"/>
            <w:tcBorders>
              <w:top w:val="single" w:sz="6" w:space="0" w:color="auto"/>
              <w:left w:val="single" w:sz="12"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rPr>
                <w:snapToGrid w:val="0"/>
                <w:color w:val="000000"/>
              </w:rPr>
            </w:pPr>
            <w:r>
              <w:rPr>
                <w:snapToGrid w:val="0"/>
                <w:color w:val="000000"/>
              </w:rPr>
              <w:t>PASSAIC</w:t>
            </w:r>
          </w:p>
        </w:tc>
        <w:tc>
          <w:tcPr>
            <w:tcW w:w="720" w:type="dxa"/>
            <w:tcBorders>
              <w:top w:val="single" w:sz="6" w:space="0" w:color="auto"/>
              <w:left w:val="single" w:sz="12"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1,361</w:t>
            </w:r>
          </w:p>
        </w:tc>
        <w:tc>
          <w:tcPr>
            <w:tcW w:w="720" w:type="dxa"/>
            <w:tcBorders>
              <w:top w:val="single" w:sz="6" w:space="0" w:color="auto"/>
              <w:left w:val="single" w:sz="6"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1,452</w:t>
            </w:r>
          </w:p>
        </w:tc>
        <w:tc>
          <w:tcPr>
            <w:tcW w:w="720" w:type="dxa"/>
            <w:tcBorders>
              <w:top w:val="single" w:sz="6" w:space="0" w:color="auto"/>
              <w:left w:val="single" w:sz="6"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+91</w:t>
            </w:r>
          </w:p>
        </w:tc>
        <w:tc>
          <w:tcPr>
            <w:tcW w:w="720" w:type="dxa"/>
            <w:tcBorders>
              <w:top w:val="single" w:sz="6" w:space="0" w:color="auto"/>
              <w:left w:val="single" w:sz="12"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2,413</w:t>
            </w:r>
          </w:p>
        </w:tc>
        <w:tc>
          <w:tcPr>
            <w:tcW w:w="720" w:type="dxa"/>
            <w:tcBorders>
              <w:top w:val="single" w:sz="6" w:space="0" w:color="auto"/>
              <w:left w:val="single" w:sz="6"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1,800</w:t>
            </w:r>
          </w:p>
        </w:tc>
        <w:tc>
          <w:tcPr>
            <w:tcW w:w="720" w:type="dxa"/>
            <w:tcBorders>
              <w:top w:val="single" w:sz="6" w:space="0" w:color="auto"/>
              <w:left w:val="single" w:sz="6"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-613</w:t>
            </w:r>
          </w:p>
        </w:tc>
        <w:tc>
          <w:tcPr>
            <w:tcW w:w="720" w:type="dxa"/>
            <w:tcBorders>
              <w:top w:val="single" w:sz="6" w:space="0" w:color="auto"/>
              <w:left w:val="single" w:sz="12"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122</w:t>
            </w:r>
          </w:p>
        </w:tc>
        <w:tc>
          <w:tcPr>
            <w:tcW w:w="720" w:type="dxa"/>
            <w:tcBorders>
              <w:top w:val="single" w:sz="6" w:space="0" w:color="auto"/>
              <w:left w:val="single" w:sz="6"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144</w:t>
            </w:r>
          </w:p>
        </w:tc>
        <w:tc>
          <w:tcPr>
            <w:tcW w:w="720" w:type="dxa"/>
            <w:tcBorders>
              <w:top w:val="single" w:sz="6" w:space="0" w:color="auto"/>
              <w:left w:val="single" w:sz="6"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+22</w:t>
            </w:r>
          </w:p>
        </w:tc>
        <w:tc>
          <w:tcPr>
            <w:tcW w:w="900" w:type="dxa"/>
            <w:tcBorders>
              <w:top w:val="single" w:sz="6" w:space="0" w:color="auto"/>
              <w:left w:val="single" w:sz="12" w:space="0" w:color="auto"/>
              <w:bottom w:val="single" w:sz="6" w:space="0" w:color="auto"/>
              <w:right w:val="single" w:sz="6" w:space="0" w:color="auto"/>
            </w:tcBorders>
          </w:tcPr>
          <w:p w:rsidR="00000000" w:rsidRDefault="00C40079">
            <w:pPr>
              <w:jc w:val="right"/>
              <w:rPr>
                <w:snapToGrid w:val="0"/>
                <w:color w:val="000000"/>
              </w:rPr>
            </w:pPr>
            <w:r>
              <w:rPr>
                <w:snapToGrid w:val="0"/>
                <w:color w:val="000000"/>
              </w:rPr>
              <w:t>8,748</w:t>
            </w:r>
          </w:p>
        </w:tc>
        <w:tc>
          <w:tcPr>
            <w:tcW w:w="900" w:type="dxa"/>
            <w:tcBorders>
              <w:top w:val="single" w:sz="6" w:space="0" w:color="auto"/>
              <w:left w:val="single" w:sz="6" w:space="0" w:color="auto"/>
              <w:bottom w:val="single" w:sz="6" w:space="0" w:color="auto"/>
              <w:right w:val="single" w:sz="6" w:space="0" w:color="auto"/>
            </w:tcBorders>
          </w:tcPr>
          <w:p w:rsidR="00000000" w:rsidRDefault="00C40079">
            <w:pPr>
              <w:jc w:val="right"/>
              <w:rPr>
                <w:snapToGrid w:val="0"/>
                <w:color w:val="000000"/>
              </w:rPr>
            </w:pPr>
            <w:r>
              <w:rPr>
                <w:snapToGrid w:val="0"/>
                <w:color w:val="000000"/>
              </w:rPr>
              <w:t>4,164</w:t>
            </w:r>
          </w:p>
        </w:tc>
        <w:tc>
          <w:tcPr>
            <w:tcW w:w="900" w:type="dxa"/>
            <w:tcBorders>
              <w:top w:val="single" w:sz="6" w:space="0" w:color="auto"/>
              <w:left w:val="single" w:sz="6" w:space="0" w:color="auto"/>
              <w:bottom w:val="single" w:sz="6" w:space="0" w:color="auto"/>
              <w:right w:val="single" w:sz="12" w:space="0" w:color="auto"/>
            </w:tcBorders>
          </w:tcPr>
          <w:p w:rsidR="00000000" w:rsidRDefault="00C40079">
            <w:pPr>
              <w:jc w:val="right"/>
              <w:rPr>
                <w:snapToGrid w:val="0"/>
                <w:color w:val="000000"/>
              </w:rPr>
            </w:pPr>
            <w:r>
              <w:rPr>
                <w:snapToGrid w:val="0"/>
                <w:color w:val="000000"/>
              </w:rPr>
              <w:t>-4,584</w:t>
            </w:r>
          </w:p>
        </w:tc>
      </w:tr>
      <w:tr w:rsidR="00000000">
        <w:tblPrEx>
          <w:tblCellMar>
            <w:top w:w="0" w:type="dxa"/>
            <w:bottom w:w="0" w:type="dxa"/>
          </w:tblCellMar>
        </w:tblPrEx>
        <w:trPr>
          <w:trHeight w:val="253"/>
        </w:trPr>
        <w:tc>
          <w:tcPr>
            <w:tcW w:w="1440" w:type="dxa"/>
            <w:tcBorders>
              <w:top w:val="single" w:sz="6" w:space="0" w:color="auto"/>
              <w:left w:val="single" w:sz="12"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rPr>
                <w:snapToGrid w:val="0"/>
                <w:color w:val="000000"/>
              </w:rPr>
            </w:pPr>
            <w:r>
              <w:rPr>
                <w:snapToGrid w:val="0"/>
                <w:color w:val="000000"/>
              </w:rPr>
              <w:t>SOMERSET</w:t>
            </w:r>
          </w:p>
        </w:tc>
        <w:tc>
          <w:tcPr>
            <w:tcW w:w="720" w:type="dxa"/>
            <w:tcBorders>
              <w:top w:val="single" w:sz="6" w:space="0" w:color="auto"/>
              <w:left w:val="single" w:sz="12"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1,048</w:t>
            </w:r>
          </w:p>
        </w:tc>
        <w:tc>
          <w:tcPr>
            <w:tcW w:w="720" w:type="dxa"/>
            <w:tcBorders>
              <w:top w:val="single" w:sz="6" w:space="0" w:color="auto"/>
              <w:left w:val="single" w:sz="6"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1,121</w:t>
            </w:r>
          </w:p>
        </w:tc>
        <w:tc>
          <w:tcPr>
            <w:tcW w:w="720" w:type="dxa"/>
            <w:tcBorders>
              <w:top w:val="single" w:sz="6" w:space="0" w:color="auto"/>
              <w:left w:val="single" w:sz="6"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+74</w:t>
            </w:r>
          </w:p>
        </w:tc>
        <w:tc>
          <w:tcPr>
            <w:tcW w:w="720" w:type="dxa"/>
            <w:tcBorders>
              <w:top w:val="single" w:sz="6" w:space="0" w:color="auto"/>
              <w:left w:val="single" w:sz="12"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2,097</w:t>
            </w:r>
          </w:p>
        </w:tc>
        <w:tc>
          <w:tcPr>
            <w:tcW w:w="720" w:type="dxa"/>
            <w:tcBorders>
              <w:top w:val="single" w:sz="6" w:space="0" w:color="auto"/>
              <w:left w:val="single" w:sz="6"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1,570</w:t>
            </w:r>
          </w:p>
        </w:tc>
        <w:tc>
          <w:tcPr>
            <w:tcW w:w="720" w:type="dxa"/>
            <w:tcBorders>
              <w:top w:val="single" w:sz="6" w:space="0" w:color="auto"/>
              <w:left w:val="single" w:sz="6"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-527</w:t>
            </w:r>
          </w:p>
        </w:tc>
        <w:tc>
          <w:tcPr>
            <w:tcW w:w="720" w:type="dxa"/>
            <w:tcBorders>
              <w:top w:val="single" w:sz="6" w:space="0" w:color="auto"/>
              <w:left w:val="single" w:sz="12"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313</w:t>
            </w:r>
          </w:p>
        </w:tc>
        <w:tc>
          <w:tcPr>
            <w:tcW w:w="720" w:type="dxa"/>
            <w:tcBorders>
              <w:top w:val="single" w:sz="6" w:space="0" w:color="auto"/>
              <w:left w:val="single" w:sz="6" w:space="0" w:color="auto"/>
              <w:bottom w:val="sing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370</w:t>
            </w:r>
          </w:p>
        </w:tc>
        <w:tc>
          <w:tcPr>
            <w:tcW w:w="720" w:type="dxa"/>
            <w:tcBorders>
              <w:top w:val="single" w:sz="6" w:space="0" w:color="auto"/>
              <w:left w:val="single" w:sz="6" w:space="0" w:color="auto"/>
              <w:bottom w:val="single" w:sz="6" w:space="0" w:color="auto"/>
              <w:right w:val="single" w:sz="12"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+57</w:t>
            </w:r>
          </w:p>
        </w:tc>
        <w:tc>
          <w:tcPr>
            <w:tcW w:w="900" w:type="dxa"/>
            <w:tcBorders>
              <w:top w:val="single" w:sz="6" w:space="0" w:color="auto"/>
              <w:left w:val="single" w:sz="12" w:space="0" w:color="auto"/>
              <w:bottom w:val="single" w:sz="6" w:space="0" w:color="auto"/>
              <w:right w:val="single" w:sz="6" w:space="0" w:color="auto"/>
            </w:tcBorders>
          </w:tcPr>
          <w:p w:rsidR="00000000" w:rsidRDefault="00C40079">
            <w:pPr>
              <w:jc w:val="right"/>
              <w:rPr>
                <w:snapToGrid w:val="0"/>
                <w:color w:val="000000"/>
              </w:rPr>
            </w:pPr>
            <w:r>
              <w:rPr>
                <w:snapToGrid w:val="0"/>
                <w:color w:val="000000"/>
              </w:rPr>
              <w:t>9,090</w:t>
            </w:r>
          </w:p>
        </w:tc>
        <w:tc>
          <w:tcPr>
            <w:tcW w:w="900" w:type="dxa"/>
            <w:tcBorders>
              <w:top w:val="single" w:sz="6" w:space="0" w:color="auto"/>
              <w:left w:val="single" w:sz="6" w:space="0" w:color="auto"/>
              <w:bottom w:val="single" w:sz="6" w:space="0" w:color="auto"/>
              <w:right w:val="single" w:sz="6" w:space="0" w:color="auto"/>
            </w:tcBorders>
          </w:tcPr>
          <w:p w:rsidR="00000000" w:rsidRDefault="00C40079">
            <w:pPr>
              <w:jc w:val="right"/>
              <w:rPr>
                <w:snapToGrid w:val="0"/>
                <w:color w:val="000000"/>
              </w:rPr>
            </w:pPr>
            <w:r>
              <w:rPr>
                <w:snapToGrid w:val="0"/>
                <w:color w:val="000000"/>
              </w:rPr>
              <w:t>4,376</w:t>
            </w:r>
          </w:p>
        </w:tc>
        <w:tc>
          <w:tcPr>
            <w:tcW w:w="900" w:type="dxa"/>
            <w:tcBorders>
              <w:top w:val="single" w:sz="6" w:space="0" w:color="auto"/>
              <w:left w:val="single" w:sz="6" w:space="0" w:color="auto"/>
              <w:bottom w:val="single" w:sz="6" w:space="0" w:color="auto"/>
              <w:right w:val="single" w:sz="12" w:space="0" w:color="auto"/>
            </w:tcBorders>
          </w:tcPr>
          <w:p w:rsidR="00000000" w:rsidRDefault="00C40079">
            <w:pPr>
              <w:jc w:val="right"/>
              <w:rPr>
                <w:snapToGrid w:val="0"/>
                <w:color w:val="000000"/>
              </w:rPr>
            </w:pPr>
            <w:r>
              <w:rPr>
                <w:snapToGrid w:val="0"/>
                <w:color w:val="000000"/>
              </w:rPr>
              <w:t>-4,715</w:t>
            </w:r>
          </w:p>
        </w:tc>
      </w:tr>
      <w:tr w:rsidR="00000000">
        <w:tblPrEx>
          <w:tblCellMar>
            <w:top w:w="0" w:type="dxa"/>
            <w:bottom w:w="0" w:type="dxa"/>
          </w:tblCellMar>
        </w:tblPrEx>
        <w:trPr>
          <w:trHeight w:val="266"/>
        </w:trPr>
        <w:tc>
          <w:tcPr>
            <w:tcW w:w="1440" w:type="dxa"/>
            <w:tcBorders>
              <w:top w:val="single" w:sz="6" w:space="0" w:color="auto"/>
              <w:left w:val="single" w:sz="12" w:space="0" w:color="auto"/>
              <w:bottom w:val="double" w:sz="6" w:space="0" w:color="auto"/>
              <w:right w:val="single" w:sz="12" w:space="0" w:color="auto"/>
            </w:tcBorders>
          </w:tcPr>
          <w:p w:rsidR="00000000" w:rsidRDefault="00C40079">
            <w:pPr>
              <w:tabs>
                <w:tab w:val="left" w:pos="720"/>
                <w:tab w:val="left" w:pos="1080"/>
                <w:tab w:val="left" w:pos="1440"/>
                <w:tab w:val="left" w:pos="1800"/>
                <w:tab w:val="left" w:pos="2160"/>
              </w:tabs>
              <w:rPr>
                <w:snapToGrid w:val="0"/>
                <w:color w:val="000000"/>
              </w:rPr>
            </w:pPr>
            <w:r>
              <w:rPr>
                <w:snapToGrid w:val="0"/>
                <w:color w:val="000000"/>
              </w:rPr>
              <w:t>UNION</w:t>
            </w:r>
          </w:p>
        </w:tc>
        <w:tc>
          <w:tcPr>
            <w:tcW w:w="720" w:type="dxa"/>
            <w:tcBorders>
              <w:top w:val="single" w:sz="6" w:space="0" w:color="auto"/>
              <w:left w:val="single" w:sz="12" w:space="0" w:color="auto"/>
              <w:bottom w:val="doub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1,621</w:t>
            </w:r>
          </w:p>
        </w:tc>
        <w:tc>
          <w:tcPr>
            <w:tcW w:w="720" w:type="dxa"/>
            <w:tcBorders>
              <w:top w:val="single" w:sz="6" w:space="0" w:color="auto"/>
              <w:left w:val="single" w:sz="6" w:space="0" w:color="auto"/>
              <w:bottom w:val="doub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1,732</w:t>
            </w:r>
          </w:p>
        </w:tc>
        <w:tc>
          <w:tcPr>
            <w:tcW w:w="720" w:type="dxa"/>
            <w:tcBorders>
              <w:top w:val="single" w:sz="6" w:space="0" w:color="auto"/>
              <w:left w:val="single" w:sz="6" w:space="0" w:color="auto"/>
              <w:bottom w:val="double" w:sz="6" w:space="0" w:color="auto"/>
              <w:right w:val="single" w:sz="12"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+111</w:t>
            </w:r>
          </w:p>
        </w:tc>
        <w:tc>
          <w:tcPr>
            <w:tcW w:w="720" w:type="dxa"/>
            <w:tcBorders>
              <w:top w:val="single" w:sz="6" w:space="0" w:color="auto"/>
              <w:left w:val="single" w:sz="12" w:space="0" w:color="auto"/>
              <w:bottom w:val="doub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5,883</w:t>
            </w:r>
          </w:p>
        </w:tc>
        <w:tc>
          <w:tcPr>
            <w:tcW w:w="720" w:type="dxa"/>
            <w:tcBorders>
              <w:top w:val="single" w:sz="6" w:space="0" w:color="auto"/>
              <w:left w:val="single" w:sz="6" w:space="0" w:color="auto"/>
              <w:bottom w:val="doub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4,903</w:t>
            </w:r>
          </w:p>
        </w:tc>
        <w:tc>
          <w:tcPr>
            <w:tcW w:w="720" w:type="dxa"/>
            <w:tcBorders>
              <w:top w:val="single" w:sz="6" w:space="0" w:color="auto"/>
              <w:left w:val="single" w:sz="6" w:space="0" w:color="auto"/>
              <w:bottom w:val="double" w:sz="6" w:space="0" w:color="auto"/>
              <w:right w:val="single" w:sz="12"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-980</w:t>
            </w:r>
          </w:p>
        </w:tc>
        <w:tc>
          <w:tcPr>
            <w:tcW w:w="720" w:type="dxa"/>
            <w:tcBorders>
              <w:top w:val="single" w:sz="6" w:space="0" w:color="auto"/>
              <w:left w:val="single" w:sz="12" w:space="0" w:color="auto"/>
              <w:bottom w:val="doub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3,757</w:t>
            </w:r>
          </w:p>
        </w:tc>
        <w:tc>
          <w:tcPr>
            <w:tcW w:w="720" w:type="dxa"/>
            <w:tcBorders>
              <w:top w:val="single" w:sz="6" w:space="0" w:color="auto"/>
              <w:left w:val="single" w:sz="6" w:space="0" w:color="auto"/>
              <w:bottom w:val="double" w:sz="6" w:space="0" w:color="auto"/>
              <w:right w:val="single" w:sz="6"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4,077</w:t>
            </w:r>
          </w:p>
        </w:tc>
        <w:tc>
          <w:tcPr>
            <w:tcW w:w="720" w:type="dxa"/>
            <w:tcBorders>
              <w:top w:val="single" w:sz="6" w:space="0" w:color="auto"/>
              <w:left w:val="single" w:sz="6" w:space="0" w:color="auto"/>
              <w:bottom w:val="double" w:sz="6" w:space="0" w:color="auto"/>
              <w:right w:val="single" w:sz="12"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+320</w:t>
            </w:r>
          </w:p>
        </w:tc>
        <w:tc>
          <w:tcPr>
            <w:tcW w:w="900" w:type="dxa"/>
            <w:tcBorders>
              <w:top w:val="single" w:sz="6" w:space="0" w:color="auto"/>
              <w:left w:val="single" w:sz="12" w:space="0" w:color="auto"/>
              <w:bottom w:val="double" w:sz="6" w:space="0" w:color="auto"/>
              <w:right w:val="single" w:sz="6" w:space="0" w:color="auto"/>
            </w:tcBorders>
          </w:tcPr>
          <w:p w:rsidR="00000000" w:rsidRDefault="00C40079">
            <w:pPr>
              <w:jc w:val="right"/>
              <w:rPr>
                <w:snapToGrid w:val="0"/>
                <w:color w:val="000000"/>
              </w:rPr>
            </w:pPr>
            <w:r>
              <w:rPr>
                <w:snapToGrid w:val="0"/>
                <w:color w:val="000000"/>
              </w:rPr>
              <w:t>12,294</w:t>
            </w:r>
          </w:p>
        </w:tc>
        <w:tc>
          <w:tcPr>
            <w:tcW w:w="900" w:type="dxa"/>
            <w:tcBorders>
              <w:top w:val="single" w:sz="6" w:space="0" w:color="auto"/>
              <w:left w:val="single" w:sz="6" w:space="0" w:color="auto"/>
              <w:bottom w:val="double" w:sz="6" w:space="0" w:color="auto"/>
              <w:right w:val="single" w:sz="6" w:space="0" w:color="auto"/>
            </w:tcBorders>
          </w:tcPr>
          <w:p w:rsidR="00000000" w:rsidRDefault="00C40079">
            <w:pPr>
              <w:jc w:val="right"/>
              <w:rPr>
                <w:snapToGrid w:val="0"/>
                <w:color w:val="000000"/>
              </w:rPr>
            </w:pPr>
            <w:r>
              <w:rPr>
                <w:snapToGrid w:val="0"/>
                <w:color w:val="000000"/>
              </w:rPr>
              <w:t>5,844</w:t>
            </w:r>
          </w:p>
        </w:tc>
        <w:tc>
          <w:tcPr>
            <w:tcW w:w="900" w:type="dxa"/>
            <w:tcBorders>
              <w:top w:val="single" w:sz="6" w:space="0" w:color="auto"/>
              <w:left w:val="single" w:sz="6" w:space="0" w:color="auto"/>
              <w:bottom w:val="double" w:sz="6" w:space="0" w:color="auto"/>
              <w:right w:val="single" w:sz="12" w:space="0" w:color="auto"/>
            </w:tcBorders>
          </w:tcPr>
          <w:p w:rsidR="00000000" w:rsidRDefault="00C40079">
            <w:pPr>
              <w:jc w:val="right"/>
              <w:rPr>
                <w:snapToGrid w:val="0"/>
                <w:color w:val="000000"/>
              </w:rPr>
            </w:pPr>
            <w:r>
              <w:rPr>
                <w:snapToGrid w:val="0"/>
                <w:color w:val="000000"/>
              </w:rPr>
              <w:t>-6,45</w:t>
            </w:r>
            <w:r>
              <w:rPr>
                <w:snapToGrid w:val="0"/>
                <w:color w:val="000000"/>
              </w:rPr>
              <w:t>1</w:t>
            </w:r>
          </w:p>
        </w:tc>
      </w:tr>
      <w:tr w:rsidR="00000000">
        <w:tblPrEx>
          <w:tblCellMar>
            <w:top w:w="0" w:type="dxa"/>
            <w:bottom w:w="0" w:type="dxa"/>
          </w:tblCellMar>
        </w:tblPrEx>
        <w:trPr>
          <w:trHeight w:val="595"/>
        </w:trPr>
        <w:tc>
          <w:tcPr>
            <w:tcW w:w="1440" w:type="dxa"/>
            <w:tcBorders>
              <w:top w:val="double" w:sz="6" w:space="0" w:color="auto"/>
              <w:left w:val="single" w:sz="12" w:space="0" w:color="auto"/>
              <w:bottom w:val="double" w:sz="6" w:space="0" w:color="auto"/>
              <w:right w:val="single" w:sz="18" w:space="0" w:color="auto"/>
            </w:tcBorders>
          </w:tcPr>
          <w:p w:rsidR="00000000" w:rsidRDefault="00C40079">
            <w:pPr>
              <w:tabs>
                <w:tab w:val="left" w:pos="720"/>
                <w:tab w:val="left" w:pos="1080"/>
                <w:tab w:val="left" w:pos="1440"/>
                <w:tab w:val="left" w:pos="1800"/>
                <w:tab w:val="left" w:pos="2160"/>
              </w:tabs>
              <w:rPr>
                <w:b/>
                <w:snapToGrid w:val="0"/>
                <w:color w:val="000000"/>
              </w:rPr>
            </w:pPr>
            <w:r>
              <w:rPr>
                <w:b/>
                <w:snapToGrid w:val="0"/>
                <w:color w:val="000000"/>
              </w:rPr>
              <w:t>TOTAL for New Jersey portion of the NY/NJ/ LI/CT Area</w:t>
            </w:r>
          </w:p>
        </w:tc>
        <w:tc>
          <w:tcPr>
            <w:tcW w:w="720" w:type="dxa"/>
            <w:tcBorders>
              <w:top w:val="double" w:sz="6" w:space="0" w:color="auto"/>
              <w:left w:val="single" w:sz="18" w:space="0" w:color="auto"/>
              <w:bottom w:val="double" w:sz="6" w:space="0" w:color="auto"/>
              <w:right w:val="single" w:sz="6" w:space="0" w:color="auto"/>
            </w:tcBorders>
          </w:tcPr>
          <w:p w:rsidR="00000000" w:rsidRDefault="00C40079">
            <w:pPr>
              <w:tabs>
                <w:tab w:val="left" w:pos="720"/>
                <w:tab w:val="left" w:pos="1080"/>
                <w:tab w:val="left" w:pos="1440"/>
                <w:tab w:val="left" w:pos="1800"/>
                <w:tab w:val="left" w:pos="2160"/>
              </w:tabs>
              <w:jc w:val="right"/>
              <w:rPr>
                <w:b/>
                <w:snapToGrid w:val="0"/>
                <w:color w:val="000000"/>
              </w:rPr>
            </w:pPr>
          </w:p>
          <w:p w:rsidR="00000000" w:rsidRDefault="00C40079">
            <w:pPr>
              <w:tabs>
                <w:tab w:val="left" w:pos="720"/>
                <w:tab w:val="left" w:pos="1080"/>
                <w:tab w:val="left" w:pos="1440"/>
                <w:tab w:val="left" w:pos="1800"/>
                <w:tab w:val="left" w:pos="2160"/>
              </w:tabs>
              <w:jc w:val="right"/>
              <w:rPr>
                <w:b/>
                <w:snapToGrid w:val="0"/>
                <w:color w:val="000000"/>
              </w:rPr>
            </w:pPr>
            <w:r>
              <w:rPr>
                <w:b/>
                <w:snapToGrid w:val="0"/>
                <w:color w:val="000000"/>
              </w:rPr>
              <w:t>18,173</w:t>
            </w:r>
          </w:p>
        </w:tc>
        <w:tc>
          <w:tcPr>
            <w:tcW w:w="720" w:type="dxa"/>
            <w:tcBorders>
              <w:top w:val="double" w:sz="6" w:space="0" w:color="auto"/>
              <w:left w:val="single" w:sz="6" w:space="0" w:color="auto"/>
              <w:bottom w:val="double" w:sz="6" w:space="0" w:color="auto"/>
              <w:right w:val="single" w:sz="6" w:space="0" w:color="auto"/>
            </w:tcBorders>
          </w:tcPr>
          <w:p w:rsidR="00000000" w:rsidRDefault="00C40079">
            <w:pPr>
              <w:tabs>
                <w:tab w:val="left" w:pos="720"/>
                <w:tab w:val="left" w:pos="1080"/>
                <w:tab w:val="left" w:pos="1440"/>
                <w:tab w:val="left" w:pos="1800"/>
                <w:tab w:val="left" w:pos="2160"/>
              </w:tabs>
              <w:jc w:val="right"/>
              <w:rPr>
                <w:b/>
                <w:snapToGrid w:val="0"/>
                <w:color w:val="000000"/>
              </w:rPr>
            </w:pPr>
          </w:p>
          <w:p w:rsidR="00000000" w:rsidRDefault="00C40079">
            <w:pPr>
              <w:tabs>
                <w:tab w:val="left" w:pos="720"/>
                <w:tab w:val="left" w:pos="1080"/>
                <w:tab w:val="left" w:pos="1440"/>
                <w:tab w:val="left" w:pos="1800"/>
                <w:tab w:val="left" w:pos="2160"/>
              </w:tabs>
              <w:jc w:val="right"/>
              <w:rPr>
                <w:b/>
                <w:snapToGrid w:val="0"/>
                <w:color w:val="000000"/>
              </w:rPr>
            </w:pPr>
            <w:r>
              <w:rPr>
                <w:b/>
                <w:snapToGrid w:val="0"/>
                <w:color w:val="000000"/>
              </w:rPr>
              <w:t>19,488</w:t>
            </w:r>
          </w:p>
        </w:tc>
        <w:tc>
          <w:tcPr>
            <w:tcW w:w="720" w:type="dxa"/>
            <w:tcBorders>
              <w:top w:val="double" w:sz="6" w:space="0" w:color="auto"/>
              <w:left w:val="single" w:sz="6" w:space="0" w:color="auto"/>
              <w:bottom w:val="double" w:sz="6" w:space="0" w:color="auto"/>
              <w:right w:val="single" w:sz="12" w:space="0" w:color="auto"/>
            </w:tcBorders>
          </w:tcPr>
          <w:p w:rsidR="00000000" w:rsidRDefault="00C40079">
            <w:pPr>
              <w:tabs>
                <w:tab w:val="left" w:pos="720"/>
                <w:tab w:val="left" w:pos="1080"/>
                <w:tab w:val="left" w:pos="1440"/>
                <w:tab w:val="left" w:pos="1800"/>
                <w:tab w:val="left" w:pos="2160"/>
              </w:tabs>
              <w:jc w:val="right"/>
              <w:rPr>
                <w:b/>
                <w:snapToGrid w:val="0"/>
                <w:color w:val="000000"/>
              </w:rPr>
            </w:pPr>
          </w:p>
          <w:p w:rsidR="00000000" w:rsidRDefault="00C40079">
            <w:pPr>
              <w:tabs>
                <w:tab w:val="left" w:pos="720"/>
                <w:tab w:val="left" w:pos="1080"/>
                <w:tab w:val="left" w:pos="1440"/>
                <w:tab w:val="left" w:pos="1800"/>
                <w:tab w:val="left" w:pos="2160"/>
              </w:tabs>
              <w:jc w:val="right"/>
              <w:rPr>
                <w:b/>
                <w:snapToGrid w:val="0"/>
                <w:color w:val="000000"/>
              </w:rPr>
            </w:pPr>
            <w:r>
              <w:rPr>
                <w:b/>
                <w:snapToGrid w:val="0"/>
                <w:color w:val="000000"/>
              </w:rPr>
              <w:t>+1,314</w:t>
            </w:r>
          </w:p>
          <w:p w:rsidR="00000000" w:rsidRDefault="00C40079">
            <w:pPr>
              <w:tabs>
                <w:tab w:val="left" w:pos="720"/>
                <w:tab w:val="left" w:pos="1080"/>
                <w:tab w:val="left" w:pos="1440"/>
                <w:tab w:val="left" w:pos="1800"/>
                <w:tab w:val="left" w:pos="2160"/>
              </w:tabs>
              <w:jc w:val="right"/>
              <w:rPr>
                <w:b/>
                <w:snapToGrid w:val="0"/>
                <w:color w:val="000000"/>
              </w:rPr>
            </w:pPr>
            <w:r>
              <w:rPr>
                <w:b/>
                <w:snapToGrid w:val="0"/>
                <w:color w:val="000000"/>
              </w:rPr>
              <w:t>(+7%)</w:t>
            </w:r>
          </w:p>
        </w:tc>
        <w:tc>
          <w:tcPr>
            <w:tcW w:w="720" w:type="dxa"/>
            <w:tcBorders>
              <w:top w:val="double" w:sz="6" w:space="0" w:color="auto"/>
              <w:left w:val="single" w:sz="12" w:space="0" w:color="auto"/>
              <w:bottom w:val="double" w:sz="6" w:space="0" w:color="auto"/>
              <w:right w:val="single" w:sz="6" w:space="0" w:color="auto"/>
            </w:tcBorders>
          </w:tcPr>
          <w:p w:rsidR="00000000" w:rsidRDefault="00C40079">
            <w:pPr>
              <w:tabs>
                <w:tab w:val="left" w:pos="720"/>
                <w:tab w:val="left" w:pos="1080"/>
                <w:tab w:val="left" w:pos="1440"/>
                <w:tab w:val="left" w:pos="1800"/>
                <w:tab w:val="left" w:pos="2160"/>
              </w:tabs>
              <w:jc w:val="right"/>
              <w:rPr>
                <w:b/>
                <w:snapToGrid w:val="0"/>
                <w:color w:val="000000"/>
              </w:rPr>
            </w:pPr>
          </w:p>
          <w:p w:rsidR="00000000" w:rsidRDefault="00C40079">
            <w:pPr>
              <w:tabs>
                <w:tab w:val="left" w:pos="720"/>
                <w:tab w:val="left" w:pos="1080"/>
                <w:tab w:val="left" w:pos="1440"/>
                <w:tab w:val="left" w:pos="1800"/>
                <w:tab w:val="left" w:pos="2160"/>
              </w:tabs>
              <w:jc w:val="right"/>
              <w:rPr>
                <w:b/>
                <w:snapToGrid w:val="0"/>
                <w:color w:val="000000"/>
              </w:rPr>
            </w:pPr>
            <w:r>
              <w:rPr>
                <w:b/>
                <w:snapToGrid w:val="0"/>
                <w:color w:val="000000"/>
              </w:rPr>
              <w:t>45,957</w:t>
            </w:r>
          </w:p>
        </w:tc>
        <w:tc>
          <w:tcPr>
            <w:tcW w:w="720" w:type="dxa"/>
            <w:tcBorders>
              <w:top w:val="double" w:sz="6" w:space="0" w:color="auto"/>
              <w:left w:val="single" w:sz="6" w:space="0" w:color="auto"/>
              <w:bottom w:val="double" w:sz="6" w:space="0" w:color="auto"/>
              <w:right w:val="single" w:sz="6" w:space="0" w:color="auto"/>
            </w:tcBorders>
          </w:tcPr>
          <w:p w:rsidR="00000000" w:rsidRDefault="00C40079">
            <w:pPr>
              <w:tabs>
                <w:tab w:val="left" w:pos="720"/>
                <w:tab w:val="left" w:pos="1080"/>
                <w:tab w:val="left" w:pos="1440"/>
                <w:tab w:val="left" w:pos="1800"/>
                <w:tab w:val="left" w:pos="2160"/>
              </w:tabs>
              <w:jc w:val="right"/>
              <w:rPr>
                <w:b/>
                <w:snapToGrid w:val="0"/>
                <w:color w:val="000000"/>
              </w:rPr>
            </w:pPr>
          </w:p>
          <w:p w:rsidR="00000000" w:rsidRDefault="00C40079">
            <w:pPr>
              <w:tabs>
                <w:tab w:val="left" w:pos="720"/>
                <w:tab w:val="left" w:pos="1080"/>
                <w:tab w:val="left" w:pos="1440"/>
                <w:tab w:val="left" w:pos="1800"/>
                <w:tab w:val="left" w:pos="2160"/>
              </w:tabs>
              <w:jc w:val="right"/>
              <w:rPr>
                <w:b/>
                <w:snapToGrid w:val="0"/>
                <w:color w:val="000000"/>
              </w:rPr>
            </w:pPr>
            <w:r>
              <w:rPr>
                <w:b/>
                <w:snapToGrid w:val="0"/>
                <w:color w:val="000000"/>
              </w:rPr>
              <w:t>37,694</w:t>
            </w:r>
          </w:p>
        </w:tc>
        <w:tc>
          <w:tcPr>
            <w:tcW w:w="720" w:type="dxa"/>
            <w:tcBorders>
              <w:top w:val="double" w:sz="6" w:space="0" w:color="auto"/>
              <w:left w:val="single" w:sz="6" w:space="0" w:color="auto"/>
              <w:bottom w:val="double" w:sz="6" w:space="0" w:color="auto"/>
              <w:right w:val="single" w:sz="12" w:space="0" w:color="auto"/>
            </w:tcBorders>
          </w:tcPr>
          <w:p w:rsidR="00000000" w:rsidRDefault="00C40079">
            <w:pPr>
              <w:tabs>
                <w:tab w:val="left" w:pos="720"/>
                <w:tab w:val="left" w:pos="1080"/>
                <w:tab w:val="left" w:pos="1440"/>
                <w:tab w:val="left" w:pos="1800"/>
                <w:tab w:val="left" w:pos="2160"/>
              </w:tabs>
              <w:jc w:val="right"/>
              <w:rPr>
                <w:b/>
                <w:snapToGrid w:val="0"/>
                <w:color w:val="000000"/>
              </w:rPr>
            </w:pPr>
          </w:p>
          <w:p w:rsidR="00000000" w:rsidRDefault="00C40079">
            <w:pPr>
              <w:tabs>
                <w:tab w:val="left" w:pos="720"/>
                <w:tab w:val="left" w:pos="1080"/>
                <w:tab w:val="left" w:pos="1440"/>
                <w:tab w:val="left" w:pos="1800"/>
                <w:tab w:val="left" w:pos="2160"/>
              </w:tabs>
              <w:jc w:val="right"/>
              <w:rPr>
                <w:b/>
                <w:snapToGrid w:val="0"/>
                <w:color w:val="000000"/>
              </w:rPr>
            </w:pPr>
            <w:r>
              <w:rPr>
                <w:b/>
                <w:snapToGrid w:val="0"/>
                <w:color w:val="000000"/>
              </w:rPr>
              <w:t>-8,262</w:t>
            </w:r>
          </w:p>
          <w:p w:rsidR="00000000" w:rsidRDefault="00C40079">
            <w:pPr>
              <w:tabs>
                <w:tab w:val="left" w:pos="720"/>
                <w:tab w:val="left" w:pos="1080"/>
                <w:tab w:val="left" w:pos="1440"/>
                <w:tab w:val="left" w:pos="1800"/>
                <w:tab w:val="left" w:pos="2160"/>
              </w:tabs>
              <w:jc w:val="right"/>
              <w:rPr>
                <w:b/>
                <w:snapToGrid w:val="0"/>
                <w:color w:val="000000"/>
              </w:rPr>
            </w:pPr>
            <w:r>
              <w:rPr>
                <w:b/>
                <w:snapToGrid w:val="0"/>
                <w:color w:val="000000"/>
              </w:rPr>
              <w:t>(-18%)</w:t>
            </w:r>
          </w:p>
        </w:tc>
        <w:tc>
          <w:tcPr>
            <w:tcW w:w="720" w:type="dxa"/>
            <w:tcBorders>
              <w:top w:val="double" w:sz="6" w:space="0" w:color="auto"/>
              <w:left w:val="single" w:sz="12" w:space="0" w:color="auto"/>
              <w:bottom w:val="double" w:sz="6" w:space="0" w:color="auto"/>
              <w:right w:val="single" w:sz="6" w:space="0" w:color="auto"/>
            </w:tcBorders>
          </w:tcPr>
          <w:p w:rsidR="00000000" w:rsidRDefault="00C40079">
            <w:pPr>
              <w:tabs>
                <w:tab w:val="left" w:pos="720"/>
                <w:tab w:val="left" w:pos="1080"/>
                <w:tab w:val="left" w:pos="1440"/>
                <w:tab w:val="left" w:pos="1800"/>
                <w:tab w:val="left" w:pos="2160"/>
              </w:tabs>
              <w:jc w:val="right"/>
              <w:rPr>
                <w:b/>
                <w:snapToGrid w:val="0"/>
                <w:color w:val="000000"/>
              </w:rPr>
            </w:pPr>
          </w:p>
          <w:p w:rsidR="00000000" w:rsidRDefault="00C40079">
            <w:pPr>
              <w:tabs>
                <w:tab w:val="left" w:pos="720"/>
                <w:tab w:val="left" w:pos="1080"/>
                <w:tab w:val="left" w:pos="1440"/>
                <w:tab w:val="left" w:pos="1800"/>
                <w:tab w:val="left" w:pos="2160"/>
              </w:tabs>
              <w:jc w:val="right"/>
              <w:rPr>
                <w:b/>
                <w:snapToGrid w:val="0"/>
                <w:color w:val="000000"/>
              </w:rPr>
            </w:pPr>
            <w:r>
              <w:rPr>
                <w:b/>
                <w:snapToGrid w:val="0"/>
                <w:color w:val="000000"/>
              </w:rPr>
              <w:t>34,420</w:t>
            </w:r>
          </w:p>
        </w:tc>
        <w:tc>
          <w:tcPr>
            <w:tcW w:w="720" w:type="dxa"/>
            <w:tcBorders>
              <w:top w:val="double" w:sz="6" w:space="0" w:color="auto"/>
              <w:left w:val="single" w:sz="6" w:space="0" w:color="auto"/>
              <w:bottom w:val="double" w:sz="6" w:space="0" w:color="auto"/>
              <w:right w:val="single" w:sz="6" w:space="0" w:color="auto"/>
            </w:tcBorders>
          </w:tcPr>
          <w:p w:rsidR="00000000" w:rsidRDefault="00C40079">
            <w:pPr>
              <w:tabs>
                <w:tab w:val="left" w:pos="720"/>
                <w:tab w:val="left" w:pos="1080"/>
                <w:tab w:val="left" w:pos="1440"/>
                <w:tab w:val="left" w:pos="1800"/>
                <w:tab w:val="left" w:pos="2160"/>
              </w:tabs>
              <w:jc w:val="right"/>
              <w:rPr>
                <w:b/>
                <w:snapToGrid w:val="0"/>
                <w:color w:val="000000"/>
              </w:rPr>
            </w:pPr>
          </w:p>
          <w:p w:rsidR="00000000" w:rsidRDefault="00C40079">
            <w:pPr>
              <w:tabs>
                <w:tab w:val="left" w:pos="720"/>
                <w:tab w:val="left" w:pos="1080"/>
                <w:tab w:val="left" w:pos="1440"/>
                <w:tab w:val="left" w:pos="1800"/>
                <w:tab w:val="left" w:pos="2160"/>
              </w:tabs>
              <w:jc w:val="right"/>
              <w:rPr>
                <w:b/>
                <w:snapToGrid w:val="0"/>
                <w:color w:val="000000"/>
              </w:rPr>
            </w:pPr>
            <w:r>
              <w:rPr>
                <w:b/>
                <w:snapToGrid w:val="0"/>
                <w:color w:val="000000"/>
              </w:rPr>
              <w:t>36,804</w:t>
            </w:r>
          </w:p>
        </w:tc>
        <w:tc>
          <w:tcPr>
            <w:tcW w:w="720" w:type="dxa"/>
            <w:tcBorders>
              <w:top w:val="double" w:sz="6" w:space="0" w:color="auto"/>
              <w:left w:val="single" w:sz="6" w:space="0" w:color="auto"/>
              <w:bottom w:val="double" w:sz="6" w:space="0" w:color="auto"/>
              <w:right w:val="single" w:sz="12" w:space="0" w:color="auto"/>
            </w:tcBorders>
          </w:tcPr>
          <w:p w:rsidR="00000000" w:rsidRDefault="00C40079">
            <w:pPr>
              <w:tabs>
                <w:tab w:val="left" w:pos="720"/>
                <w:tab w:val="left" w:pos="1080"/>
                <w:tab w:val="left" w:pos="1440"/>
                <w:tab w:val="left" w:pos="1800"/>
                <w:tab w:val="left" w:pos="2160"/>
              </w:tabs>
              <w:jc w:val="right"/>
              <w:rPr>
                <w:b/>
                <w:snapToGrid w:val="0"/>
                <w:color w:val="000000"/>
              </w:rPr>
            </w:pPr>
          </w:p>
          <w:p w:rsidR="00000000" w:rsidRDefault="00C40079">
            <w:pPr>
              <w:tabs>
                <w:tab w:val="left" w:pos="720"/>
                <w:tab w:val="left" w:pos="1080"/>
                <w:tab w:val="left" w:pos="1440"/>
                <w:tab w:val="left" w:pos="1800"/>
                <w:tab w:val="left" w:pos="2160"/>
              </w:tabs>
              <w:jc w:val="right"/>
              <w:rPr>
                <w:b/>
                <w:snapToGrid w:val="0"/>
                <w:color w:val="000000"/>
              </w:rPr>
            </w:pPr>
            <w:r>
              <w:rPr>
                <w:b/>
                <w:snapToGrid w:val="0"/>
                <w:color w:val="000000"/>
              </w:rPr>
              <w:t>+2,384</w:t>
            </w:r>
          </w:p>
          <w:p w:rsidR="00000000" w:rsidRDefault="00C40079">
            <w:pPr>
              <w:tabs>
                <w:tab w:val="left" w:pos="720"/>
                <w:tab w:val="left" w:pos="1080"/>
                <w:tab w:val="left" w:pos="1440"/>
                <w:tab w:val="left" w:pos="1800"/>
                <w:tab w:val="left" w:pos="2160"/>
              </w:tabs>
              <w:jc w:val="right"/>
              <w:rPr>
                <w:b/>
                <w:snapToGrid w:val="0"/>
                <w:color w:val="000000"/>
              </w:rPr>
            </w:pPr>
            <w:r>
              <w:rPr>
                <w:b/>
                <w:snapToGrid w:val="0"/>
                <w:color w:val="000000"/>
              </w:rPr>
              <w:t>(+7%)</w:t>
            </w:r>
          </w:p>
        </w:tc>
        <w:tc>
          <w:tcPr>
            <w:tcW w:w="900" w:type="dxa"/>
            <w:tcBorders>
              <w:top w:val="double" w:sz="6" w:space="0" w:color="auto"/>
              <w:left w:val="single" w:sz="12" w:space="0" w:color="auto"/>
              <w:bottom w:val="double" w:sz="6" w:space="0" w:color="auto"/>
              <w:right w:val="single" w:sz="12" w:space="0" w:color="auto"/>
            </w:tcBorders>
          </w:tcPr>
          <w:p w:rsidR="00000000" w:rsidRDefault="00C40079">
            <w:pPr>
              <w:tabs>
                <w:tab w:val="left" w:pos="720"/>
                <w:tab w:val="left" w:pos="1080"/>
                <w:tab w:val="left" w:pos="1440"/>
                <w:tab w:val="left" w:pos="1800"/>
                <w:tab w:val="left" w:pos="2160"/>
              </w:tabs>
              <w:jc w:val="right"/>
              <w:rPr>
                <w:b/>
                <w:snapToGrid w:val="0"/>
                <w:color w:val="000000"/>
              </w:rPr>
            </w:pPr>
          </w:p>
          <w:p w:rsidR="00000000" w:rsidRDefault="00C40079">
            <w:pPr>
              <w:tabs>
                <w:tab w:val="left" w:pos="720"/>
                <w:tab w:val="left" w:pos="1080"/>
                <w:tab w:val="left" w:pos="1440"/>
                <w:tab w:val="left" w:pos="1800"/>
                <w:tab w:val="left" w:pos="2160"/>
              </w:tabs>
              <w:jc w:val="right"/>
              <w:rPr>
                <w:b/>
                <w:snapToGrid w:val="0"/>
                <w:color w:val="000000"/>
              </w:rPr>
            </w:pPr>
            <w:r>
              <w:rPr>
                <w:b/>
                <w:snapToGrid w:val="0"/>
                <w:color w:val="000000"/>
              </w:rPr>
              <w:t>137,701</w:t>
            </w:r>
          </w:p>
        </w:tc>
        <w:tc>
          <w:tcPr>
            <w:tcW w:w="900" w:type="dxa"/>
            <w:tcBorders>
              <w:top w:val="double" w:sz="6" w:space="0" w:color="auto"/>
              <w:left w:val="single" w:sz="12" w:space="0" w:color="auto"/>
              <w:bottom w:val="double" w:sz="6" w:space="0" w:color="auto"/>
              <w:right w:val="single" w:sz="12" w:space="0" w:color="auto"/>
            </w:tcBorders>
          </w:tcPr>
          <w:p w:rsidR="00000000" w:rsidRDefault="00C40079">
            <w:pPr>
              <w:tabs>
                <w:tab w:val="left" w:pos="720"/>
                <w:tab w:val="left" w:pos="1080"/>
                <w:tab w:val="left" w:pos="1440"/>
                <w:tab w:val="left" w:pos="1800"/>
                <w:tab w:val="left" w:pos="2160"/>
              </w:tabs>
              <w:jc w:val="right"/>
              <w:rPr>
                <w:b/>
                <w:snapToGrid w:val="0"/>
                <w:color w:val="000000"/>
              </w:rPr>
            </w:pPr>
          </w:p>
          <w:p w:rsidR="00000000" w:rsidRDefault="00C40079">
            <w:pPr>
              <w:tabs>
                <w:tab w:val="left" w:pos="720"/>
                <w:tab w:val="left" w:pos="1080"/>
                <w:tab w:val="left" w:pos="1440"/>
                <w:tab w:val="left" w:pos="1800"/>
                <w:tab w:val="left" w:pos="2160"/>
              </w:tabs>
              <w:jc w:val="right"/>
              <w:rPr>
                <w:b/>
                <w:snapToGrid w:val="0"/>
                <w:color w:val="000000"/>
              </w:rPr>
            </w:pPr>
            <w:r>
              <w:rPr>
                <w:b/>
                <w:snapToGrid w:val="0"/>
                <w:color w:val="000000"/>
              </w:rPr>
              <w:t>66,004</w:t>
            </w:r>
          </w:p>
        </w:tc>
        <w:tc>
          <w:tcPr>
            <w:tcW w:w="900" w:type="dxa"/>
            <w:tcBorders>
              <w:top w:val="double" w:sz="6" w:space="0" w:color="auto"/>
              <w:left w:val="single" w:sz="12" w:space="0" w:color="auto"/>
              <w:bottom w:val="double" w:sz="6" w:space="0" w:color="auto"/>
              <w:right w:val="single" w:sz="12" w:space="0" w:color="auto"/>
            </w:tcBorders>
          </w:tcPr>
          <w:p w:rsidR="00000000" w:rsidRDefault="00C40079">
            <w:pPr>
              <w:tabs>
                <w:tab w:val="left" w:pos="720"/>
                <w:tab w:val="left" w:pos="1080"/>
                <w:tab w:val="left" w:pos="1440"/>
                <w:tab w:val="left" w:pos="1800"/>
                <w:tab w:val="left" w:pos="2160"/>
              </w:tabs>
              <w:jc w:val="right"/>
              <w:rPr>
                <w:b/>
                <w:snapToGrid w:val="0"/>
                <w:color w:val="000000"/>
              </w:rPr>
            </w:pPr>
          </w:p>
          <w:p w:rsidR="00000000" w:rsidRDefault="00C40079">
            <w:pPr>
              <w:tabs>
                <w:tab w:val="left" w:pos="720"/>
                <w:tab w:val="left" w:pos="1080"/>
                <w:tab w:val="left" w:pos="1440"/>
                <w:tab w:val="left" w:pos="1800"/>
                <w:tab w:val="left" w:pos="2160"/>
              </w:tabs>
              <w:jc w:val="right"/>
              <w:rPr>
                <w:b/>
                <w:snapToGrid w:val="0"/>
                <w:color w:val="000000"/>
              </w:rPr>
            </w:pPr>
            <w:r>
              <w:rPr>
                <w:b/>
                <w:snapToGrid w:val="0"/>
                <w:color w:val="000000"/>
              </w:rPr>
              <w:t>-71,697</w:t>
            </w:r>
          </w:p>
          <w:p w:rsidR="00000000" w:rsidRDefault="00C40079">
            <w:pPr>
              <w:tabs>
                <w:tab w:val="left" w:pos="720"/>
                <w:tab w:val="left" w:pos="1080"/>
                <w:tab w:val="left" w:pos="1440"/>
                <w:tab w:val="left" w:pos="1800"/>
                <w:tab w:val="left" w:pos="2160"/>
              </w:tabs>
              <w:jc w:val="right"/>
              <w:rPr>
                <w:b/>
                <w:snapToGrid w:val="0"/>
                <w:color w:val="000000"/>
              </w:rPr>
            </w:pPr>
            <w:r>
              <w:rPr>
                <w:b/>
                <w:snapToGrid w:val="0"/>
                <w:color w:val="000000"/>
              </w:rPr>
              <w:t>(-52%)</w:t>
            </w:r>
          </w:p>
        </w:tc>
      </w:tr>
    </w:tbl>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Table XI is a comparison of total NO</w:t>
      </w:r>
      <w:r>
        <w:rPr>
          <w:vertAlign w:val="subscript"/>
        </w:rPr>
        <w:t>x</w:t>
      </w:r>
      <w:r>
        <w:t xml:space="preserve"> emissions for 2002 and 2009 by s</w:t>
      </w:r>
      <w:r>
        <w:t>ource sector for the New Jersey counties in the New York /New Jersey/Long Island/Connecticut PM</w:t>
      </w:r>
      <w:r>
        <w:rPr>
          <w:vertAlign w:val="subscript"/>
        </w:rPr>
        <w:t>2.5</w:t>
      </w:r>
      <w:r>
        <w:t xml:space="preserve"> nonattainment area. Annual NO</w:t>
      </w:r>
      <w:r>
        <w:rPr>
          <w:vertAlign w:val="subscript"/>
        </w:rPr>
        <w:t>x</w:t>
      </w:r>
      <w:r>
        <w:t xml:space="preserve"> emissions are projected to be lower in each county and across the entire New Jersey portion of the New York /New Jersey/Long I</w:t>
      </w:r>
      <w:r>
        <w:t>sland/Connecticut PM</w:t>
      </w:r>
      <w:r>
        <w:rPr>
          <w:vertAlign w:val="subscript"/>
        </w:rPr>
        <w:t>2.5</w:t>
      </w:r>
      <w:r>
        <w:t xml:space="preserve"> nonattainment area by 17.6 percent to 41.7 percent with an average of over 30 percent.  Based on these annual NO</w:t>
      </w:r>
      <w:r>
        <w:rPr>
          <w:vertAlign w:val="subscript"/>
        </w:rPr>
        <w:t>x</w:t>
      </w:r>
      <w:r>
        <w:t xml:space="preserve"> inventories, the New Jersey portion of the New York /New Jersey/Long Island/Connecticut area meets the USEPA criteria </w:t>
      </w:r>
      <w:r>
        <w:t>of a reduction of at least five to ten percent to allow the area to be considered for the establishment of early PM</w:t>
      </w:r>
      <w:r>
        <w:rPr>
          <w:vertAlign w:val="subscript"/>
        </w:rPr>
        <w:t>2.5</w:t>
      </w:r>
      <w:r>
        <w:t xml:space="preserve"> budgets in a voluntary SIP.</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br w:type="page"/>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jc w:val="center"/>
        <w:rPr>
          <w:b/>
        </w:rPr>
      </w:pPr>
      <w:bookmarkStart w:id="136" w:name="Table_XI"/>
      <w:bookmarkStart w:id="137" w:name="_Hlt126641917"/>
      <w:bookmarkEnd w:id="137"/>
      <w:r>
        <w:rPr>
          <w:b/>
        </w:rPr>
        <w:t>Table XI</w:t>
      </w:r>
      <w:bookmarkEnd w:id="136"/>
    </w:p>
    <w:p w:rsidR="00000000" w:rsidRDefault="00C40079">
      <w:pPr>
        <w:pStyle w:val="Level2"/>
        <w:tabs>
          <w:tab w:val="left" w:pos="720"/>
          <w:tab w:val="left" w:pos="1080"/>
          <w:tab w:val="left" w:pos="1440"/>
          <w:tab w:val="left" w:pos="1800"/>
          <w:tab w:val="left" w:pos="2160"/>
        </w:tabs>
        <w:jc w:val="center"/>
        <w:rPr>
          <w:b/>
        </w:rPr>
      </w:pPr>
      <w:r>
        <w:rPr>
          <w:b/>
        </w:rPr>
        <w:t>Annual NO</w:t>
      </w:r>
      <w:r>
        <w:rPr>
          <w:b/>
          <w:vertAlign w:val="subscript"/>
        </w:rPr>
        <w:t>x</w:t>
      </w:r>
      <w:r>
        <w:rPr>
          <w:b/>
        </w:rPr>
        <w:t>: Calculation of the Percent Reduction in Projected 2009 Emissions</w:t>
      </w:r>
    </w:p>
    <w:p w:rsidR="00000000" w:rsidRDefault="00C40079">
      <w:pPr>
        <w:pStyle w:val="Level2"/>
        <w:tabs>
          <w:tab w:val="left" w:pos="720"/>
          <w:tab w:val="left" w:pos="1080"/>
          <w:tab w:val="left" w:pos="1440"/>
          <w:tab w:val="left" w:pos="1800"/>
          <w:tab w:val="left" w:pos="2160"/>
        </w:tabs>
        <w:jc w:val="center"/>
        <w:rPr>
          <w:b/>
        </w:rPr>
      </w:pPr>
      <w:r>
        <w:rPr>
          <w:b/>
        </w:rPr>
        <w:t>from the 2002 Emis</w:t>
      </w:r>
      <w:r>
        <w:rPr>
          <w:b/>
        </w:rPr>
        <w:t>sions by County</w:t>
      </w:r>
    </w:p>
    <w:p w:rsidR="00000000" w:rsidRDefault="00C40079">
      <w:pPr>
        <w:pStyle w:val="Level2"/>
        <w:tabs>
          <w:tab w:val="left" w:pos="720"/>
          <w:tab w:val="left" w:pos="1080"/>
          <w:tab w:val="left" w:pos="1440"/>
          <w:tab w:val="left" w:pos="1800"/>
          <w:tab w:val="left" w:pos="2160"/>
        </w:tabs>
      </w:pPr>
    </w:p>
    <w:tbl>
      <w:tblPr>
        <w:tblW w:w="0" w:type="auto"/>
        <w:tblInd w:w="210" w:type="dxa"/>
        <w:tblLayout w:type="fixed"/>
        <w:tblCellMar>
          <w:left w:w="30" w:type="dxa"/>
          <w:right w:w="30" w:type="dxa"/>
        </w:tblCellMar>
        <w:tblLook w:val="0000" w:firstRow="0" w:lastRow="0" w:firstColumn="0" w:lastColumn="0" w:noHBand="0" w:noVBand="0"/>
      </w:tblPr>
      <w:tblGrid>
        <w:gridCol w:w="2430"/>
        <w:gridCol w:w="1890"/>
        <w:gridCol w:w="1440"/>
        <w:gridCol w:w="1440"/>
        <w:gridCol w:w="1350"/>
      </w:tblGrid>
      <w:tr w:rsidR="00000000">
        <w:tblPrEx>
          <w:tblCellMar>
            <w:top w:w="0" w:type="dxa"/>
            <w:bottom w:w="0" w:type="dxa"/>
          </w:tblCellMar>
        </w:tblPrEx>
        <w:trPr>
          <w:cantSplit/>
          <w:trHeight w:val="276"/>
        </w:trPr>
        <w:tc>
          <w:tcPr>
            <w:tcW w:w="2430" w:type="dxa"/>
            <w:vMerge w:val="restart"/>
            <w:tcBorders>
              <w:top w:val="double" w:sz="6" w:space="0" w:color="auto"/>
              <w:left w:val="double" w:sz="6" w:space="0" w:color="auto"/>
              <w:bottom w:val="nil"/>
              <w:right w:val="single" w:sz="18" w:space="0" w:color="auto"/>
            </w:tcBorders>
          </w:tcPr>
          <w:p w:rsidR="00000000" w:rsidRDefault="00C40079">
            <w:pPr>
              <w:tabs>
                <w:tab w:val="left" w:pos="720"/>
                <w:tab w:val="left" w:pos="1080"/>
                <w:tab w:val="left" w:pos="1440"/>
                <w:tab w:val="left" w:pos="1800"/>
                <w:tab w:val="left" w:pos="2160"/>
              </w:tabs>
              <w:rPr>
                <w:b/>
                <w:snapToGrid w:val="0"/>
                <w:color w:val="000000"/>
                <w:sz w:val="24"/>
              </w:rPr>
            </w:pPr>
          </w:p>
          <w:p w:rsidR="00000000" w:rsidRDefault="00C40079">
            <w:pPr>
              <w:tabs>
                <w:tab w:val="left" w:pos="720"/>
                <w:tab w:val="left" w:pos="1080"/>
                <w:tab w:val="left" w:pos="1440"/>
                <w:tab w:val="left" w:pos="1800"/>
                <w:tab w:val="left" w:pos="2160"/>
              </w:tabs>
              <w:rPr>
                <w:b/>
                <w:snapToGrid w:val="0"/>
                <w:color w:val="000000"/>
                <w:sz w:val="24"/>
              </w:rPr>
            </w:pPr>
            <w:r>
              <w:rPr>
                <w:b/>
                <w:snapToGrid w:val="0"/>
                <w:color w:val="000000"/>
                <w:sz w:val="24"/>
              </w:rPr>
              <w:t>SOURCE CATEGORY</w:t>
            </w:r>
          </w:p>
        </w:tc>
        <w:tc>
          <w:tcPr>
            <w:tcW w:w="1890" w:type="dxa"/>
            <w:vMerge w:val="restart"/>
            <w:tcBorders>
              <w:top w:val="double" w:sz="6" w:space="0" w:color="auto"/>
              <w:left w:val="single" w:sz="18" w:space="0" w:color="auto"/>
              <w:right w:val="single" w:sz="18" w:space="0" w:color="auto"/>
            </w:tcBorders>
          </w:tcPr>
          <w:p w:rsidR="00000000" w:rsidRDefault="00C40079">
            <w:pPr>
              <w:tabs>
                <w:tab w:val="left" w:pos="720"/>
                <w:tab w:val="left" w:pos="1080"/>
                <w:tab w:val="left" w:pos="1440"/>
                <w:tab w:val="left" w:pos="1800"/>
                <w:tab w:val="left" w:pos="2160"/>
              </w:tabs>
              <w:jc w:val="center"/>
              <w:rPr>
                <w:b/>
                <w:snapToGrid w:val="0"/>
                <w:color w:val="000000"/>
                <w:sz w:val="24"/>
              </w:rPr>
            </w:pPr>
          </w:p>
          <w:p w:rsidR="00000000" w:rsidRDefault="00C40079">
            <w:pPr>
              <w:tabs>
                <w:tab w:val="left" w:pos="720"/>
                <w:tab w:val="left" w:pos="1080"/>
                <w:tab w:val="left" w:pos="1440"/>
                <w:tab w:val="left" w:pos="1800"/>
                <w:tab w:val="left" w:pos="2160"/>
              </w:tabs>
              <w:jc w:val="center"/>
              <w:rPr>
                <w:b/>
                <w:snapToGrid w:val="0"/>
                <w:color w:val="000000"/>
                <w:sz w:val="24"/>
              </w:rPr>
            </w:pPr>
            <w:r>
              <w:rPr>
                <w:b/>
                <w:snapToGrid w:val="0"/>
                <w:color w:val="000000"/>
                <w:sz w:val="24"/>
              </w:rPr>
              <w:t>% EMISSION REDUCTION</w:t>
            </w:r>
          </w:p>
        </w:tc>
        <w:tc>
          <w:tcPr>
            <w:tcW w:w="4230" w:type="dxa"/>
            <w:gridSpan w:val="3"/>
            <w:vMerge w:val="restart"/>
            <w:tcBorders>
              <w:top w:val="double" w:sz="6" w:space="0" w:color="auto"/>
              <w:left w:val="single" w:sz="18" w:space="0" w:color="auto"/>
              <w:bottom w:val="nil"/>
              <w:right w:val="double" w:sz="6" w:space="0" w:color="auto"/>
            </w:tcBorders>
          </w:tcPr>
          <w:p w:rsidR="00000000" w:rsidRDefault="00C40079">
            <w:pPr>
              <w:tabs>
                <w:tab w:val="left" w:pos="720"/>
                <w:tab w:val="left" w:pos="1080"/>
                <w:tab w:val="left" w:pos="1440"/>
                <w:tab w:val="left" w:pos="1800"/>
                <w:tab w:val="left" w:pos="2160"/>
              </w:tabs>
              <w:jc w:val="center"/>
              <w:rPr>
                <w:b/>
                <w:snapToGrid w:val="0"/>
                <w:color w:val="000000"/>
                <w:sz w:val="24"/>
              </w:rPr>
            </w:pPr>
            <w:r>
              <w:rPr>
                <w:b/>
                <w:snapToGrid w:val="0"/>
                <w:color w:val="000000"/>
                <w:sz w:val="24"/>
              </w:rPr>
              <w:t>CONTROLLED EMISSIONS ANNUAL (TONS PER YEAR)</w:t>
            </w:r>
          </w:p>
        </w:tc>
      </w:tr>
      <w:tr w:rsidR="00000000">
        <w:tblPrEx>
          <w:tblCellMar>
            <w:top w:w="0" w:type="dxa"/>
            <w:bottom w:w="0" w:type="dxa"/>
          </w:tblCellMar>
        </w:tblPrEx>
        <w:trPr>
          <w:cantSplit/>
          <w:trHeight w:val="276"/>
        </w:trPr>
        <w:tc>
          <w:tcPr>
            <w:tcW w:w="2430" w:type="dxa"/>
            <w:vMerge/>
            <w:tcBorders>
              <w:top w:val="nil"/>
              <w:left w:val="double" w:sz="6" w:space="0" w:color="auto"/>
              <w:bottom w:val="nil"/>
              <w:right w:val="single" w:sz="18" w:space="0" w:color="auto"/>
            </w:tcBorders>
          </w:tcPr>
          <w:p w:rsidR="00000000" w:rsidRDefault="00C40079">
            <w:pPr>
              <w:tabs>
                <w:tab w:val="left" w:pos="720"/>
                <w:tab w:val="left" w:pos="1080"/>
                <w:tab w:val="left" w:pos="1440"/>
                <w:tab w:val="left" w:pos="1800"/>
                <w:tab w:val="left" w:pos="2160"/>
              </w:tabs>
              <w:rPr>
                <w:snapToGrid w:val="0"/>
                <w:color w:val="000000"/>
                <w:sz w:val="24"/>
              </w:rPr>
            </w:pPr>
          </w:p>
        </w:tc>
        <w:tc>
          <w:tcPr>
            <w:tcW w:w="1890" w:type="dxa"/>
            <w:vMerge/>
            <w:tcBorders>
              <w:left w:val="single" w:sz="18" w:space="0" w:color="auto"/>
              <w:bottom w:val="nil"/>
              <w:right w:val="single" w:sz="18" w:space="0" w:color="auto"/>
            </w:tcBorders>
          </w:tcPr>
          <w:p w:rsidR="00000000" w:rsidRDefault="00C40079">
            <w:pPr>
              <w:tabs>
                <w:tab w:val="left" w:pos="720"/>
                <w:tab w:val="left" w:pos="1080"/>
                <w:tab w:val="left" w:pos="1440"/>
                <w:tab w:val="left" w:pos="1800"/>
                <w:tab w:val="left" w:pos="2160"/>
              </w:tabs>
              <w:jc w:val="center"/>
              <w:rPr>
                <w:snapToGrid w:val="0"/>
                <w:color w:val="000000"/>
                <w:sz w:val="24"/>
              </w:rPr>
            </w:pPr>
          </w:p>
        </w:tc>
        <w:tc>
          <w:tcPr>
            <w:tcW w:w="4230" w:type="dxa"/>
            <w:gridSpan w:val="3"/>
            <w:vMerge/>
            <w:tcBorders>
              <w:top w:val="nil"/>
              <w:left w:val="single" w:sz="18" w:space="0" w:color="auto"/>
              <w:bottom w:val="single" w:sz="12" w:space="0" w:color="auto"/>
              <w:right w:val="double" w:sz="6" w:space="0" w:color="auto"/>
            </w:tcBorders>
          </w:tcPr>
          <w:p w:rsidR="00000000" w:rsidRDefault="00C40079">
            <w:pPr>
              <w:tabs>
                <w:tab w:val="left" w:pos="720"/>
                <w:tab w:val="left" w:pos="1080"/>
                <w:tab w:val="left" w:pos="1440"/>
                <w:tab w:val="left" w:pos="1800"/>
                <w:tab w:val="left" w:pos="2160"/>
              </w:tabs>
              <w:jc w:val="center"/>
              <w:rPr>
                <w:snapToGrid w:val="0"/>
                <w:color w:val="000000"/>
                <w:sz w:val="24"/>
              </w:rPr>
            </w:pPr>
          </w:p>
        </w:tc>
      </w:tr>
      <w:tr w:rsidR="00000000">
        <w:tblPrEx>
          <w:tblCellMar>
            <w:top w:w="0" w:type="dxa"/>
            <w:bottom w:w="0" w:type="dxa"/>
          </w:tblCellMar>
        </w:tblPrEx>
        <w:trPr>
          <w:cantSplit/>
          <w:trHeight w:val="168"/>
        </w:trPr>
        <w:tc>
          <w:tcPr>
            <w:tcW w:w="2430" w:type="dxa"/>
            <w:vMerge/>
            <w:tcBorders>
              <w:top w:val="nil"/>
              <w:left w:val="double" w:sz="6" w:space="0" w:color="auto"/>
              <w:right w:val="single" w:sz="18" w:space="0" w:color="auto"/>
            </w:tcBorders>
          </w:tcPr>
          <w:p w:rsidR="00000000" w:rsidRDefault="00C40079">
            <w:pPr>
              <w:tabs>
                <w:tab w:val="left" w:pos="720"/>
                <w:tab w:val="left" w:pos="1080"/>
                <w:tab w:val="left" w:pos="1440"/>
                <w:tab w:val="left" w:pos="1800"/>
                <w:tab w:val="left" w:pos="2160"/>
              </w:tabs>
              <w:rPr>
                <w:b/>
                <w:snapToGrid w:val="0"/>
                <w:color w:val="000000"/>
                <w:sz w:val="24"/>
              </w:rPr>
            </w:pPr>
          </w:p>
        </w:tc>
        <w:tc>
          <w:tcPr>
            <w:tcW w:w="1890" w:type="dxa"/>
            <w:vMerge/>
            <w:tcBorders>
              <w:top w:val="nil"/>
              <w:left w:val="single" w:sz="18" w:space="0" w:color="auto"/>
              <w:right w:val="single" w:sz="18" w:space="0" w:color="auto"/>
            </w:tcBorders>
          </w:tcPr>
          <w:p w:rsidR="00000000" w:rsidRDefault="00C40079">
            <w:pPr>
              <w:tabs>
                <w:tab w:val="left" w:pos="720"/>
                <w:tab w:val="left" w:pos="1080"/>
                <w:tab w:val="left" w:pos="1440"/>
                <w:tab w:val="left" w:pos="1800"/>
                <w:tab w:val="left" w:pos="2160"/>
              </w:tabs>
              <w:jc w:val="center"/>
              <w:rPr>
                <w:b/>
                <w:snapToGrid w:val="0"/>
                <w:color w:val="000000"/>
                <w:sz w:val="24"/>
              </w:rPr>
            </w:pPr>
          </w:p>
        </w:tc>
        <w:tc>
          <w:tcPr>
            <w:tcW w:w="4230" w:type="dxa"/>
            <w:gridSpan w:val="3"/>
            <w:tcBorders>
              <w:top w:val="single" w:sz="12" w:space="0" w:color="auto"/>
              <w:left w:val="single" w:sz="18" w:space="0" w:color="auto"/>
              <w:right w:val="double" w:sz="6" w:space="0" w:color="auto"/>
            </w:tcBorders>
          </w:tcPr>
          <w:p w:rsidR="00000000" w:rsidRDefault="00C40079">
            <w:pPr>
              <w:tabs>
                <w:tab w:val="left" w:pos="720"/>
                <w:tab w:val="left" w:pos="1080"/>
                <w:tab w:val="left" w:pos="1440"/>
                <w:tab w:val="left" w:pos="1800"/>
                <w:tab w:val="left" w:pos="2160"/>
              </w:tabs>
              <w:jc w:val="center"/>
              <w:rPr>
                <w:b/>
                <w:snapToGrid w:val="0"/>
                <w:color w:val="000000"/>
                <w:sz w:val="24"/>
              </w:rPr>
            </w:pPr>
            <w:r>
              <w:rPr>
                <w:b/>
                <w:snapToGrid w:val="0"/>
                <w:color w:val="000000"/>
                <w:sz w:val="24"/>
              </w:rPr>
              <w:t>TOTAL OF ALL SECTORS</w:t>
            </w:r>
          </w:p>
        </w:tc>
      </w:tr>
      <w:tr w:rsidR="00000000">
        <w:tblPrEx>
          <w:tblCellMar>
            <w:top w:w="0" w:type="dxa"/>
            <w:bottom w:w="0" w:type="dxa"/>
          </w:tblCellMar>
        </w:tblPrEx>
        <w:trPr>
          <w:trHeight w:val="266"/>
        </w:trPr>
        <w:tc>
          <w:tcPr>
            <w:tcW w:w="2430" w:type="dxa"/>
            <w:tcBorders>
              <w:top w:val="single" w:sz="12" w:space="0" w:color="auto"/>
              <w:left w:val="double" w:sz="6" w:space="0" w:color="auto"/>
              <w:bottom w:val="single" w:sz="12" w:space="0" w:color="auto"/>
            </w:tcBorders>
          </w:tcPr>
          <w:p w:rsidR="00000000" w:rsidRDefault="00C40079">
            <w:pPr>
              <w:tabs>
                <w:tab w:val="left" w:pos="720"/>
                <w:tab w:val="left" w:pos="1080"/>
                <w:tab w:val="left" w:pos="1440"/>
                <w:tab w:val="left" w:pos="1800"/>
                <w:tab w:val="left" w:pos="2160"/>
              </w:tabs>
              <w:rPr>
                <w:b/>
                <w:snapToGrid w:val="0"/>
                <w:color w:val="000000"/>
                <w:sz w:val="24"/>
              </w:rPr>
            </w:pPr>
            <w:r>
              <w:rPr>
                <w:b/>
                <w:snapToGrid w:val="0"/>
                <w:color w:val="000000"/>
                <w:sz w:val="24"/>
              </w:rPr>
              <w:t>COUNTY</w:t>
            </w:r>
          </w:p>
        </w:tc>
        <w:tc>
          <w:tcPr>
            <w:tcW w:w="1890" w:type="dxa"/>
            <w:tcBorders>
              <w:top w:val="single" w:sz="18" w:space="0" w:color="auto"/>
              <w:left w:val="single" w:sz="18" w:space="0" w:color="auto"/>
              <w:bottom w:val="single" w:sz="18" w:space="0" w:color="auto"/>
              <w:right w:val="single" w:sz="18" w:space="0" w:color="auto"/>
            </w:tcBorders>
          </w:tcPr>
          <w:p w:rsidR="00000000" w:rsidRDefault="00C40079">
            <w:pPr>
              <w:tabs>
                <w:tab w:val="left" w:pos="720"/>
                <w:tab w:val="left" w:pos="1080"/>
                <w:tab w:val="left" w:pos="1440"/>
                <w:tab w:val="left" w:pos="1800"/>
                <w:tab w:val="left" w:pos="2160"/>
              </w:tabs>
              <w:jc w:val="center"/>
              <w:rPr>
                <w:b/>
                <w:snapToGrid w:val="0"/>
                <w:color w:val="000000"/>
                <w:sz w:val="24"/>
              </w:rPr>
            </w:pPr>
            <w:r>
              <w:rPr>
                <w:b/>
                <w:snapToGrid w:val="0"/>
                <w:color w:val="000000"/>
                <w:sz w:val="24"/>
              </w:rPr>
              <w:t>(2009-2002)/2002</w:t>
            </w:r>
          </w:p>
        </w:tc>
        <w:tc>
          <w:tcPr>
            <w:tcW w:w="1440" w:type="dxa"/>
            <w:tcBorders>
              <w:top w:val="single" w:sz="18" w:space="0" w:color="auto"/>
              <w:left w:val="nil"/>
              <w:bottom w:val="single" w:sz="18" w:space="0" w:color="auto"/>
              <w:right w:val="single" w:sz="18" w:space="0" w:color="auto"/>
            </w:tcBorders>
          </w:tcPr>
          <w:p w:rsidR="00000000" w:rsidRDefault="00C40079">
            <w:pPr>
              <w:tabs>
                <w:tab w:val="left" w:pos="720"/>
                <w:tab w:val="left" w:pos="1080"/>
                <w:tab w:val="left" w:pos="1440"/>
                <w:tab w:val="left" w:pos="1800"/>
                <w:tab w:val="left" w:pos="2160"/>
              </w:tabs>
              <w:jc w:val="center"/>
              <w:rPr>
                <w:b/>
                <w:snapToGrid w:val="0"/>
                <w:color w:val="000000"/>
                <w:sz w:val="24"/>
              </w:rPr>
            </w:pPr>
            <w:r>
              <w:rPr>
                <w:b/>
                <w:snapToGrid w:val="0"/>
                <w:color w:val="000000"/>
                <w:sz w:val="24"/>
              </w:rPr>
              <w:t>2002</w:t>
            </w:r>
          </w:p>
        </w:tc>
        <w:tc>
          <w:tcPr>
            <w:tcW w:w="1440" w:type="dxa"/>
            <w:tcBorders>
              <w:top w:val="single" w:sz="18" w:space="0" w:color="auto"/>
              <w:left w:val="single" w:sz="18" w:space="0" w:color="auto"/>
              <w:bottom w:val="single" w:sz="18" w:space="0" w:color="auto"/>
              <w:right w:val="single" w:sz="18" w:space="0" w:color="auto"/>
            </w:tcBorders>
          </w:tcPr>
          <w:p w:rsidR="00000000" w:rsidRDefault="00C40079">
            <w:pPr>
              <w:tabs>
                <w:tab w:val="left" w:pos="720"/>
                <w:tab w:val="left" w:pos="1080"/>
                <w:tab w:val="left" w:pos="1440"/>
                <w:tab w:val="left" w:pos="1800"/>
                <w:tab w:val="left" w:pos="2160"/>
              </w:tabs>
              <w:jc w:val="center"/>
              <w:rPr>
                <w:b/>
                <w:snapToGrid w:val="0"/>
                <w:color w:val="000000"/>
                <w:sz w:val="24"/>
              </w:rPr>
            </w:pPr>
            <w:r>
              <w:rPr>
                <w:b/>
                <w:snapToGrid w:val="0"/>
                <w:color w:val="000000"/>
                <w:sz w:val="24"/>
              </w:rPr>
              <w:t>2009</w:t>
            </w:r>
          </w:p>
        </w:tc>
        <w:tc>
          <w:tcPr>
            <w:tcW w:w="1350" w:type="dxa"/>
            <w:tcBorders>
              <w:top w:val="single" w:sz="18" w:space="0" w:color="auto"/>
              <w:left w:val="single" w:sz="18" w:space="0" w:color="auto"/>
              <w:bottom w:val="single" w:sz="18" w:space="0" w:color="auto"/>
              <w:right w:val="double" w:sz="6" w:space="0" w:color="auto"/>
            </w:tcBorders>
          </w:tcPr>
          <w:p w:rsidR="00000000" w:rsidRDefault="00C40079">
            <w:pPr>
              <w:tabs>
                <w:tab w:val="left" w:pos="720"/>
                <w:tab w:val="left" w:pos="1080"/>
                <w:tab w:val="left" w:pos="1440"/>
                <w:tab w:val="left" w:pos="1800"/>
                <w:tab w:val="left" w:pos="2160"/>
              </w:tabs>
              <w:jc w:val="center"/>
              <w:rPr>
                <w:b/>
                <w:snapToGrid w:val="0"/>
                <w:color w:val="000000"/>
                <w:sz w:val="24"/>
              </w:rPr>
            </w:pPr>
            <w:r>
              <w:rPr>
                <w:b/>
                <w:snapToGrid w:val="0"/>
                <w:color w:val="000000"/>
                <w:sz w:val="24"/>
              </w:rPr>
              <w:t>2009-2002</w:t>
            </w:r>
          </w:p>
        </w:tc>
      </w:tr>
      <w:tr w:rsidR="00000000">
        <w:tblPrEx>
          <w:tblCellMar>
            <w:top w:w="0" w:type="dxa"/>
            <w:bottom w:w="0" w:type="dxa"/>
          </w:tblCellMar>
        </w:tblPrEx>
        <w:trPr>
          <w:trHeight w:val="253"/>
        </w:trPr>
        <w:tc>
          <w:tcPr>
            <w:tcW w:w="2430" w:type="dxa"/>
            <w:tcBorders>
              <w:left w:val="double" w:sz="6" w:space="0" w:color="auto"/>
              <w:bottom w:val="single" w:sz="6" w:space="0" w:color="auto"/>
              <w:right w:val="single" w:sz="18" w:space="0" w:color="auto"/>
            </w:tcBorders>
          </w:tcPr>
          <w:p w:rsidR="00000000" w:rsidRDefault="00C40079">
            <w:pPr>
              <w:tabs>
                <w:tab w:val="left" w:pos="720"/>
                <w:tab w:val="left" w:pos="1080"/>
                <w:tab w:val="left" w:pos="1440"/>
                <w:tab w:val="left" w:pos="1800"/>
                <w:tab w:val="left" w:pos="2160"/>
              </w:tabs>
              <w:rPr>
                <w:snapToGrid w:val="0"/>
                <w:color w:val="000000"/>
                <w:sz w:val="24"/>
              </w:rPr>
            </w:pPr>
            <w:r>
              <w:rPr>
                <w:snapToGrid w:val="0"/>
                <w:color w:val="000000"/>
                <w:sz w:val="24"/>
              </w:rPr>
              <w:t>BERGEN</w:t>
            </w:r>
          </w:p>
        </w:tc>
        <w:tc>
          <w:tcPr>
            <w:tcW w:w="1890" w:type="dxa"/>
            <w:tcBorders>
              <w:left w:val="single" w:sz="18" w:space="0" w:color="auto"/>
              <w:bottom w:val="single" w:sz="6" w:space="0" w:color="auto"/>
              <w:right w:val="single" w:sz="18" w:space="0" w:color="auto"/>
            </w:tcBorders>
          </w:tcPr>
          <w:p w:rsidR="00000000" w:rsidRDefault="00C40079">
            <w:pPr>
              <w:jc w:val="right"/>
              <w:rPr>
                <w:snapToGrid w:val="0"/>
                <w:color w:val="000000"/>
                <w:sz w:val="24"/>
              </w:rPr>
            </w:pPr>
            <w:r>
              <w:rPr>
                <w:snapToGrid w:val="0"/>
                <w:color w:val="000000"/>
                <w:sz w:val="24"/>
              </w:rPr>
              <w:t>-40.2%</w:t>
            </w:r>
          </w:p>
        </w:tc>
        <w:tc>
          <w:tcPr>
            <w:tcW w:w="1440" w:type="dxa"/>
            <w:tcBorders>
              <w:left w:val="single" w:sz="18"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34,427</w:t>
            </w:r>
          </w:p>
        </w:tc>
        <w:tc>
          <w:tcPr>
            <w:tcW w:w="1440" w:type="dxa"/>
            <w:tcBorders>
              <w:left w:val="single" w:sz="6"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20,584</w:t>
            </w:r>
          </w:p>
        </w:tc>
        <w:tc>
          <w:tcPr>
            <w:tcW w:w="1350" w:type="dxa"/>
            <w:tcBorders>
              <w:left w:val="single" w:sz="6" w:space="0" w:color="auto"/>
              <w:bottom w:val="single" w:sz="6" w:space="0" w:color="auto"/>
              <w:right w:val="double" w:sz="6" w:space="0" w:color="auto"/>
            </w:tcBorders>
          </w:tcPr>
          <w:p w:rsidR="00000000" w:rsidRDefault="00C40079">
            <w:pPr>
              <w:jc w:val="right"/>
              <w:rPr>
                <w:snapToGrid w:val="0"/>
                <w:color w:val="000000"/>
                <w:sz w:val="24"/>
              </w:rPr>
            </w:pPr>
            <w:r>
              <w:rPr>
                <w:snapToGrid w:val="0"/>
                <w:color w:val="000000"/>
                <w:sz w:val="24"/>
              </w:rPr>
              <w:t>-13,843</w:t>
            </w:r>
          </w:p>
        </w:tc>
      </w:tr>
      <w:tr w:rsidR="00000000">
        <w:tblPrEx>
          <w:tblCellMar>
            <w:top w:w="0" w:type="dxa"/>
            <w:bottom w:w="0" w:type="dxa"/>
          </w:tblCellMar>
        </w:tblPrEx>
        <w:trPr>
          <w:trHeight w:val="253"/>
        </w:trPr>
        <w:tc>
          <w:tcPr>
            <w:tcW w:w="2430" w:type="dxa"/>
            <w:tcBorders>
              <w:top w:val="single" w:sz="6" w:space="0" w:color="auto"/>
              <w:left w:val="double" w:sz="6" w:space="0" w:color="auto"/>
              <w:bottom w:val="single" w:sz="6" w:space="0" w:color="auto"/>
              <w:right w:val="single" w:sz="18" w:space="0" w:color="auto"/>
            </w:tcBorders>
          </w:tcPr>
          <w:p w:rsidR="00000000" w:rsidRDefault="00C40079">
            <w:pPr>
              <w:tabs>
                <w:tab w:val="left" w:pos="720"/>
                <w:tab w:val="left" w:pos="1080"/>
                <w:tab w:val="left" w:pos="1440"/>
                <w:tab w:val="left" w:pos="1800"/>
                <w:tab w:val="left" w:pos="2160"/>
              </w:tabs>
              <w:rPr>
                <w:snapToGrid w:val="0"/>
                <w:color w:val="000000"/>
                <w:sz w:val="24"/>
              </w:rPr>
            </w:pPr>
            <w:r>
              <w:rPr>
                <w:snapToGrid w:val="0"/>
                <w:color w:val="000000"/>
                <w:sz w:val="24"/>
              </w:rPr>
              <w:t>ESSEX</w:t>
            </w:r>
          </w:p>
        </w:tc>
        <w:tc>
          <w:tcPr>
            <w:tcW w:w="1890" w:type="dxa"/>
            <w:tcBorders>
              <w:top w:val="single" w:sz="6" w:space="0" w:color="auto"/>
              <w:left w:val="single" w:sz="18" w:space="0" w:color="auto"/>
              <w:bottom w:val="single" w:sz="6" w:space="0" w:color="auto"/>
              <w:right w:val="single" w:sz="18" w:space="0" w:color="auto"/>
            </w:tcBorders>
          </w:tcPr>
          <w:p w:rsidR="00000000" w:rsidRDefault="00C40079">
            <w:pPr>
              <w:jc w:val="right"/>
              <w:rPr>
                <w:snapToGrid w:val="0"/>
                <w:color w:val="000000"/>
                <w:sz w:val="24"/>
              </w:rPr>
            </w:pPr>
            <w:r>
              <w:rPr>
                <w:snapToGrid w:val="0"/>
                <w:color w:val="000000"/>
                <w:sz w:val="24"/>
              </w:rPr>
              <w:t>-29.9%</w:t>
            </w:r>
          </w:p>
        </w:tc>
        <w:tc>
          <w:tcPr>
            <w:tcW w:w="1440" w:type="dxa"/>
            <w:tcBorders>
              <w:top w:val="single" w:sz="6" w:space="0" w:color="auto"/>
              <w:left w:val="single" w:sz="18"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29,551</w:t>
            </w:r>
          </w:p>
        </w:tc>
        <w:tc>
          <w:tcPr>
            <w:tcW w:w="1440" w:type="dxa"/>
            <w:tcBorders>
              <w:top w:val="single" w:sz="6" w:space="0" w:color="auto"/>
              <w:left w:val="single" w:sz="6"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20,729</w:t>
            </w:r>
          </w:p>
        </w:tc>
        <w:tc>
          <w:tcPr>
            <w:tcW w:w="1350" w:type="dxa"/>
            <w:tcBorders>
              <w:top w:val="single" w:sz="6" w:space="0" w:color="auto"/>
              <w:left w:val="single" w:sz="6" w:space="0" w:color="auto"/>
              <w:bottom w:val="single" w:sz="6" w:space="0" w:color="auto"/>
              <w:right w:val="double" w:sz="6" w:space="0" w:color="auto"/>
            </w:tcBorders>
          </w:tcPr>
          <w:p w:rsidR="00000000" w:rsidRDefault="00C40079">
            <w:pPr>
              <w:jc w:val="right"/>
              <w:rPr>
                <w:snapToGrid w:val="0"/>
                <w:color w:val="000000"/>
                <w:sz w:val="24"/>
              </w:rPr>
            </w:pPr>
            <w:r>
              <w:rPr>
                <w:snapToGrid w:val="0"/>
                <w:color w:val="000000"/>
                <w:sz w:val="24"/>
              </w:rPr>
              <w:t>-8,822</w:t>
            </w:r>
          </w:p>
        </w:tc>
      </w:tr>
      <w:tr w:rsidR="00000000">
        <w:tblPrEx>
          <w:tblCellMar>
            <w:top w:w="0" w:type="dxa"/>
            <w:bottom w:w="0" w:type="dxa"/>
          </w:tblCellMar>
        </w:tblPrEx>
        <w:trPr>
          <w:trHeight w:val="253"/>
        </w:trPr>
        <w:tc>
          <w:tcPr>
            <w:tcW w:w="2430" w:type="dxa"/>
            <w:tcBorders>
              <w:top w:val="single" w:sz="6" w:space="0" w:color="auto"/>
              <w:left w:val="double" w:sz="6" w:space="0" w:color="auto"/>
              <w:bottom w:val="single" w:sz="6" w:space="0" w:color="auto"/>
              <w:right w:val="single" w:sz="18" w:space="0" w:color="auto"/>
            </w:tcBorders>
          </w:tcPr>
          <w:p w:rsidR="00000000" w:rsidRDefault="00C40079">
            <w:pPr>
              <w:tabs>
                <w:tab w:val="left" w:pos="720"/>
                <w:tab w:val="left" w:pos="1080"/>
                <w:tab w:val="left" w:pos="1440"/>
                <w:tab w:val="left" w:pos="1800"/>
                <w:tab w:val="left" w:pos="2160"/>
              </w:tabs>
              <w:rPr>
                <w:snapToGrid w:val="0"/>
                <w:color w:val="000000"/>
                <w:sz w:val="24"/>
              </w:rPr>
            </w:pPr>
            <w:r>
              <w:rPr>
                <w:snapToGrid w:val="0"/>
                <w:color w:val="000000"/>
                <w:sz w:val="24"/>
              </w:rPr>
              <w:t>HUDSON</w:t>
            </w:r>
          </w:p>
        </w:tc>
        <w:tc>
          <w:tcPr>
            <w:tcW w:w="1890" w:type="dxa"/>
            <w:tcBorders>
              <w:top w:val="single" w:sz="6" w:space="0" w:color="auto"/>
              <w:left w:val="single" w:sz="18" w:space="0" w:color="auto"/>
              <w:bottom w:val="single" w:sz="6" w:space="0" w:color="auto"/>
              <w:right w:val="single" w:sz="18" w:space="0" w:color="auto"/>
            </w:tcBorders>
          </w:tcPr>
          <w:p w:rsidR="00000000" w:rsidRDefault="00C40079">
            <w:pPr>
              <w:jc w:val="right"/>
              <w:rPr>
                <w:snapToGrid w:val="0"/>
                <w:color w:val="000000"/>
                <w:sz w:val="24"/>
              </w:rPr>
            </w:pPr>
            <w:r>
              <w:rPr>
                <w:snapToGrid w:val="0"/>
                <w:color w:val="000000"/>
                <w:sz w:val="24"/>
              </w:rPr>
              <w:t>-16</w:t>
            </w:r>
            <w:r>
              <w:rPr>
                <w:snapToGrid w:val="0"/>
                <w:color w:val="000000"/>
                <w:sz w:val="24"/>
              </w:rPr>
              <w:t>.8%</w:t>
            </w:r>
          </w:p>
        </w:tc>
        <w:tc>
          <w:tcPr>
            <w:tcW w:w="1440" w:type="dxa"/>
            <w:tcBorders>
              <w:top w:val="single" w:sz="6" w:space="0" w:color="auto"/>
              <w:left w:val="single" w:sz="18"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25,238</w:t>
            </w:r>
          </w:p>
        </w:tc>
        <w:tc>
          <w:tcPr>
            <w:tcW w:w="1440" w:type="dxa"/>
            <w:tcBorders>
              <w:top w:val="single" w:sz="6" w:space="0" w:color="auto"/>
              <w:left w:val="single" w:sz="6"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20,998</w:t>
            </w:r>
          </w:p>
        </w:tc>
        <w:tc>
          <w:tcPr>
            <w:tcW w:w="1350" w:type="dxa"/>
            <w:tcBorders>
              <w:top w:val="single" w:sz="6" w:space="0" w:color="auto"/>
              <w:left w:val="single" w:sz="6" w:space="0" w:color="auto"/>
              <w:bottom w:val="single" w:sz="6" w:space="0" w:color="auto"/>
              <w:right w:val="double" w:sz="6" w:space="0" w:color="auto"/>
            </w:tcBorders>
          </w:tcPr>
          <w:p w:rsidR="00000000" w:rsidRDefault="00C40079">
            <w:pPr>
              <w:jc w:val="right"/>
              <w:rPr>
                <w:snapToGrid w:val="0"/>
                <w:color w:val="000000"/>
                <w:sz w:val="24"/>
              </w:rPr>
            </w:pPr>
            <w:r>
              <w:rPr>
                <w:snapToGrid w:val="0"/>
                <w:color w:val="000000"/>
                <w:sz w:val="24"/>
              </w:rPr>
              <w:t>-4,240</w:t>
            </w:r>
          </w:p>
        </w:tc>
      </w:tr>
      <w:tr w:rsidR="00000000">
        <w:tblPrEx>
          <w:tblCellMar>
            <w:top w:w="0" w:type="dxa"/>
            <w:bottom w:w="0" w:type="dxa"/>
          </w:tblCellMar>
        </w:tblPrEx>
        <w:trPr>
          <w:trHeight w:val="253"/>
        </w:trPr>
        <w:tc>
          <w:tcPr>
            <w:tcW w:w="2430" w:type="dxa"/>
            <w:tcBorders>
              <w:top w:val="single" w:sz="6" w:space="0" w:color="auto"/>
              <w:left w:val="double" w:sz="6" w:space="0" w:color="auto"/>
              <w:bottom w:val="single" w:sz="6" w:space="0" w:color="auto"/>
              <w:right w:val="single" w:sz="18" w:space="0" w:color="auto"/>
            </w:tcBorders>
          </w:tcPr>
          <w:p w:rsidR="00000000" w:rsidRDefault="00C40079">
            <w:pPr>
              <w:tabs>
                <w:tab w:val="left" w:pos="720"/>
                <w:tab w:val="left" w:pos="1080"/>
                <w:tab w:val="left" w:pos="1440"/>
                <w:tab w:val="left" w:pos="1800"/>
                <w:tab w:val="left" w:pos="2160"/>
              </w:tabs>
              <w:rPr>
                <w:snapToGrid w:val="0"/>
                <w:color w:val="000000"/>
                <w:sz w:val="24"/>
              </w:rPr>
            </w:pPr>
            <w:r>
              <w:rPr>
                <w:snapToGrid w:val="0"/>
                <w:color w:val="000000"/>
                <w:sz w:val="24"/>
              </w:rPr>
              <w:t>MERCER</w:t>
            </w:r>
          </w:p>
        </w:tc>
        <w:tc>
          <w:tcPr>
            <w:tcW w:w="1890" w:type="dxa"/>
            <w:tcBorders>
              <w:top w:val="single" w:sz="6" w:space="0" w:color="auto"/>
              <w:left w:val="single" w:sz="18" w:space="0" w:color="auto"/>
              <w:bottom w:val="single" w:sz="6" w:space="0" w:color="auto"/>
              <w:right w:val="single" w:sz="18" w:space="0" w:color="auto"/>
            </w:tcBorders>
          </w:tcPr>
          <w:p w:rsidR="00000000" w:rsidRDefault="00C40079">
            <w:pPr>
              <w:jc w:val="right"/>
              <w:rPr>
                <w:snapToGrid w:val="0"/>
                <w:color w:val="000000"/>
                <w:sz w:val="24"/>
              </w:rPr>
            </w:pPr>
            <w:r>
              <w:rPr>
                <w:snapToGrid w:val="0"/>
                <w:color w:val="000000"/>
                <w:sz w:val="24"/>
              </w:rPr>
              <w:t>-17.6%</w:t>
            </w:r>
          </w:p>
        </w:tc>
        <w:tc>
          <w:tcPr>
            <w:tcW w:w="1440" w:type="dxa"/>
            <w:tcBorders>
              <w:top w:val="single" w:sz="6" w:space="0" w:color="auto"/>
              <w:left w:val="single" w:sz="18"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25,223</w:t>
            </w:r>
          </w:p>
        </w:tc>
        <w:tc>
          <w:tcPr>
            <w:tcW w:w="1440" w:type="dxa"/>
            <w:tcBorders>
              <w:top w:val="single" w:sz="6" w:space="0" w:color="auto"/>
              <w:left w:val="single" w:sz="6"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20,781</w:t>
            </w:r>
          </w:p>
        </w:tc>
        <w:tc>
          <w:tcPr>
            <w:tcW w:w="1350" w:type="dxa"/>
            <w:tcBorders>
              <w:top w:val="single" w:sz="6" w:space="0" w:color="auto"/>
              <w:left w:val="single" w:sz="6" w:space="0" w:color="auto"/>
              <w:bottom w:val="single" w:sz="6" w:space="0" w:color="auto"/>
              <w:right w:val="double" w:sz="6" w:space="0" w:color="auto"/>
            </w:tcBorders>
          </w:tcPr>
          <w:p w:rsidR="00000000" w:rsidRDefault="00C40079">
            <w:pPr>
              <w:jc w:val="right"/>
              <w:rPr>
                <w:snapToGrid w:val="0"/>
                <w:color w:val="000000"/>
                <w:sz w:val="24"/>
              </w:rPr>
            </w:pPr>
            <w:r>
              <w:rPr>
                <w:snapToGrid w:val="0"/>
                <w:color w:val="000000"/>
                <w:sz w:val="24"/>
              </w:rPr>
              <w:t>-4,442</w:t>
            </w:r>
          </w:p>
        </w:tc>
      </w:tr>
      <w:tr w:rsidR="00000000">
        <w:tblPrEx>
          <w:tblCellMar>
            <w:top w:w="0" w:type="dxa"/>
            <w:bottom w:w="0" w:type="dxa"/>
          </w:tblCellMar>
        </w:tblPrEx>
        <w:trPr>
          <w:trHeight w:val="253"/>
        </w:trPr>
        <w:tc>
          <w:tcPr>
            <w:tcW w:w="2430" w:type="dxa"/>
            <w:tcBorders>
              <w:top w:val="single" w:sz="6" w:space="0" w:color="auto"/>
              <w:left w:val="double" w:sz="6" w:space="0" w:color="auto"/>
              <w:bottom w:val="single" w:sz="6" w:space="0" w:color="auto"/>
              <w:right w:val="single" w:sz="18" w:space="0" w:color="auto"/>
            </w:tcBorders>
          </w:tcPr>
          <w:p w:rsidR="00000000" w:rsidRDefault="00C40079">
            <w:pPr>
              <w:tabs>
                <w:tab w:val="left" w:pos="720"/>
                <w:tab w:val="left" w:pos="1080"/>
                <w:tab w:val="left" w:pos="1440"/>
                <w:tab w:val="left" w:pos="1800"/>
                <w:tab w:val="left" w:pos="2160"/>
              </w:tabs>
              <w:rPr>
                <w:snapToGrid w:val="0"/>
                <w:color w:val="000000"/>
                <w:sz w:val="24"/>
              </w:rPr>
            </w:pPr>
            <w:r>
              <w:rPr>
                <w:snapToGrid w:val="0"/>
                <w:color w:val="000000"/>
                <w:sz w:val="24"/>
              </w:rPr>
              <w:t>MIDDLESEX</w:t>
            </w:r>
          </w:p>
        </w:tc>
        <w:tc>
          <w:tcPr>
            <w:tcW w:w="1890" w:type="dxa"/>
            <w:tcBorders>
              <w:top w:val="single" w:sz="6" w:space="0" w:color="auto"/>
              <w:left w:val="single" w:sz="18" w:space="0" w:color="auto"/>
              <w:bottom w:val="single" w:sz="6" w:space="0" w:color="auto"/>
              <w:right w:val="single" w:sz="18" w:space="0" w:color="auto"/>
            </w:tcBorders>
          </w:tcPr>
          <w:p w:rsidR="00000000" w:rsidRDefault="00C40079">
            <w:pPr>
              <w:jc w:val="right"/>
              <w:rPr>
                <w:snapToGrid w:val="0"/>
                <w:color w:val="000000"/>
                <w:sz w:val="24"/>
              </w:rPr>
            </w:pPr>
            <w:r>
              <w:rPr>
                <w:snapToGrid w:val="0"/>
                <w:color w:val="000000"/>
                <w:sz w:val="24"/>
              </w:rPr>
              <w:t>-35.3%</w:t>
            </w:r>
          </w:p>
        </w:tc>
        <w:tc>
          <w:tcPr>
            <w:tcW w:w="1440" w:type="dxa"/>
            <w:tcBorders>
              <w:top w:val="single" w:sz="6" w:space="0" w:color="auto"/>
              <w:left w:val="single" w:sz="18"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32,906</w:t>
            </w:r>
          </w:p>
        </w:tc>
        <w:tc>
          <w:tcPr>
            <w:tcW w:w="1440" w:type="dxa"/>
            <w:tcBorders>
              <w:top w:val="single" w:sz="6" w:space="0" w:color="auto"/>
              <w:left w:val="single" w:sz="6"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21,292</w:t>
            </w:r>
          </w:p>
        </w:tc>
        <w:tc>
          <w:tcPr>
            <w:tcW w:w="1350" w:type="dxa"/>
            <w:tcBorders>
              <w:top w:val="single" w:sz="6" w:space="0" w:color="auto"/>
              <w:left w:val="single" w:sz="6" w:space="0" w:color="auto"/>
              <w:bottom w:val="single" w:sz="6" w:space="0" w:color="auto"/>
              <w:right w:val="double" w:sz="6" w:space="0" w:color="auto"/>
            </w:tcBorders>
          </w:tcPr>
          <w:p w:rsidR="00000000" w:rsidRDefault="00C40079">
            <w:pPr>
              <w:jc w:val="right"/>
              <w:rPr>
                <w:snapToGrid w:val="0"/>
                <w:color w:val="000000"/>
                <w:sz w:val="24"/>
              </w:rPr>
            </w:pPr>
            <w:r>
              <w:rPr>
                <w:snapToGrid w:val="0"/>
                <w:color w:val="000000"/>
                <w:sz w:val="24"/>
              </w:rPr>
              <w:t>-11,614</w:t>
            </w:r>
          </w:p>
        </w:tc>
      </w:tr>
      <w:tr w:rsidR="00000000">
        <w:tblPrEx>
          <w:tblCellMar>
            <w:top w:w="0" w:type="dxa"/>
            <w:bottom w:w="0" w:type="dxa"/>
          </w:tblCellMar>
        </w:tblPrEx>
        <w:trPr>
          <w:trHeight w:val="253"/>
        </w:trPr>
        <w:tc>
          <w:tcPr>
            <w:tcW w:w="2430" w:type="dxa"/>
            <w:tcBorders>
              <w:top w:val="single" w:sz="6" w:space="0" w:color="auto"/>
              <w:left w:val="double" w:sz="6" w:space="0" w:color="auto"/>
              <w:bottom w:val="single" w:sz="6" w:space="0" w:color="auto"/>
              <w:right w:val="single" w:sz="18" w:space="0" w:color="auto"/>
            </w:tcBorders>
          </w:tcPr>
          <w:p w:rsidR="00000000" w:rsidRDefault="00C40079">
            <w:pPr>
              <w:tabs>
                <w:tab w:val="left" w:pos="720"/>
                <w:tab w:val="left" w:pos="1080"/>
                <w:tab w:val="left" w:pos="1440"/>
                <w:tab w:val="left" w:pos="1800"/>
                <w:tab w:val="left" w:pos="2160"/>
              </w:tabs>
              <w:rPr>
                <w:snapToGrid w:val="0"/>
                <w:color w:val="000000"/>
                <w:sz w:val="24"/>
              </w:rPr>
            </w:pPr>
            <w:r>
              <w:rPr>
                <w:snapToGrid w:val="0"/>
                <w:color w:val="000000"/>
                <w:sz w:val="24"/>
              </w:rPr>
              <w:t>MONMOUTH</w:t>
            </w:r>
          </w:p>
        </w:tc>
        <w:tc>
          <w:tcPr>
            <w:tcW w:w="1890" w:type="dxa"/>
            <w:tcBorders>
              <w:top w:val="single" w:sz="6" w:space="0" w:color="auto"/>
              <w:left w:val="single" w:sz="18" w:space="0" w:color="auto"/>
              <w:bottom w:val="single" w:sz="6" w:space="0" w:color="auto"/>
              <w:right w:val="single" w:sz="18" w:space="0" w:color="auto"/>
            </w:tcBorders>
          </w:tcPr>
          <w:p w:rsidR="00000000" w:rsidRDefault="00C40079">
            <w:pPr>
              <w:jc w:val="right"/>
              <w:rPr>
                <w:snapToGrid w:val="0"/>
                <w:color w:val="000000"/>
                <w:sz w:val="24"/>
              </w:rPr>
            </w:pPr>
            <w:r>
              <w:rPr>
                <w:snapToGrid w:val="0"/>
                <w:color w:val="000000"/>
                <w:sz w:val="24"/>
              </w:rPr>
              <w:t>-38.6%</w:t>
            </w:r>
          </w:p>
        </w:tc>
        <w:tc>
          <w:tcPr>
            <w:tcW w:w="1440" w:type="dxa"/>
            <w:tcBorders>
              <w:top w:val="single" w:sz="6" w:space="0" w:color="auto"/>
              <w:left w:val="single" w:sz="18"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21,222</w:t>
            </w:r>
          </w:p>
        </w:tc>
        <w:tc>
          <w:tcPr>
            <w:tcW w:w="1440" w:type="dxa"/>
            <w:tcBorders>
              <w:top w:val="single" w:sz="6" w:space="0" w:color="auto"/>
              <w:left w:val="single" w:sz="6"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13,025</w:t>
            </w:r>
          </w:p>
        </w:tc>
        <w:tc>
          <w:tcPr>
            <w:tcW w:w="1350" w:type="dxa"/>
            <w:tcBorders>
              <w:top w:val="single" w:sz="6" w:space="0" w:color="auto"/>
              <w:left w:val="single" w:sz="6" w:space="0" w:color="auto"/>
              <w:bottom w:val="single" w:sz="6" w:space="0" w:color="auto"/>
              <w:right w:val="double" w:sz="6" w:space="0" w:color="auto"/>
            </w:tcBorders>
          </w:tcPr>
          <w:p w:rsidR="00000000" w:rsidRDefault="00C40079">
            <w:pPr>
              <w:jc w:val="right"/>
              <w:rPr>
                <w:snapToGrid w:val="0"/>
                <w:color w:val="000000"/>
                <w:sz w:val="24"/>
              </w:rPr>
            </w:pPr>
            <w:r>
              <w:rPr>
                <w:snapToGrid w:val="0"/>
                <w:color w:val="000000"/>
                <w:sz w:val="24"/>
              </w:rPr>
              <w:t>-8,197</w:t>
            </w:r>
          </w:p>
        </w:tc>
      </w:tr>
      <w:tr w:rsidR="00000000">
        <w:tblPrEx>
          <w:tblCellMar>
            <w:top w:w="0" w:type="dxa"/>
            <w:bottom w:w="0" w:type="dxa"/>
          </w:tblCellMar>
        </w:tblPrEx>
        <w:trPr>
          <w:trHeight w:val="253"/>
        </w:trPr>
        <w:tc>
          <w:tcPr>
            <w:tcW w:w="2430" w:type="dxa"/>
            <w:tcBorders>
              <w:top w:val="single" w:sz="6" w:space="0" w:color="auto"/>
              <w:left w:val="double" w:sz="6" w:space="0" w:color="auto"/>
              <w:bottom w:val="single" w:sz="6" w:space="0" w:color="auto"/>
              <w:right w:val="single" w:sz="18" w:space="0" w:color="auto"/>
            </w:tcBorders>
          </w:tcPr>
          <w:p w:rsidR="00000000" w:rsidRDefault="00C40079">
            <w:pPr>
              <w:tabs>
                <w:tab w:val="left" w:pos="720"/>
                <w:tab w:val="left" w:pos="1080"/>
                <w:tab w:val="left" w:pos="1440"/>
                <w:tab w:val="left" w:pos="1800"/>
                <w:tab w:val="left" w:pos="2160"/>
              </w:tabs>
              <w:rPr>
                <w:snapToGrid w:val="0"/>
                <w:color w:val="000000"/>
                <w:sz w:val="24"/>
              </w:rPr>
            </w:pPr>
            <w:r>
              <w:rPr>
                <w:snapToGrid w:val="0"/>
                <w:color w:val="000000"/>
                <w:sz w:val="24"/>
              </w:rPr>
              <w:t>MORRIS</w:t>
            </w:r>
          </w:p>
        </w:tc>
        <w:tc>
          <w:tcPr>
            <w:tcW w:w="1890" w:type="dxa"/>
            <w:tcBorders>
              <w:top w:val="single" w:sz="6" w:space="0" w:color="auto"/>
              <w:left w:val="single" w:sz="18" w:space="0" w:color="auto"/>
              <w:bottom w:val="single" w:sz="6" w:space="0" w:color="auto"/>
              <w:right w:val="single" w:sz="18" w:space="0" w:color="auto"/>
            </w:tcBorders>
          </w:tcPr>
          <w:p w:rsidR="00000000" w:rsidRDefault="00C40079">
            <w:pPr>
              <w:jc w:val="right"/>
              <w:rPr>
                <w:snapToGrid w:val="0"/>
                <w:color w:val="000000"/>
                <w:sz w:val="24"/>
              </w:rPr>
            </w:pPr>
            <w:r>
              <w:rPr>
                <w:snapToGrid w:val="0"/>
                <w:color w:val="000000"/>
                <w:sz w:val="24"/>
              </w:rPr>
              <w:t>-41.7%</w:t>
            </w:r>
          </w:p>
        </w:tc>
        <w:tc>
          <w:tcPr>
            <w:tcW w:w="1440" w:type="dxa"/>
            <w:tcBorders>
              <w:top w:val="single" w:sz="6" w:space="0" w:color="auto"/>
              <w:left w:val="single" w:sz="18"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18,935</w:t>
            </w:r>
          </w:p>
        </w:tc>
        <w:tc>
          <w:tcPr>
            <w:tcW w:w="1440" w:type="dxa"/>
            <w:tcBorders>
              <w:top w:val="single" w:sz="6" w:space="0" w:color="auto"/>
              <w:left w:val="single" w:sz="6"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11,031</w:t>
            </w:r>
          </w:p>
        </w:tc>
        <w:tc>
          <w:tcPr>
            <w:tcW w:w="1350" w:type="dxa"/>
            <w:tcBorders>
              <w:top w:val="single" w:sz="6" w:space="0" w:color="auto"/>
              <w:left w:val="single" w:sz="6" w:space="0" w:color="auto"/>
              <w:bottom w:val="single" w:sz="6" w:space="0" w:color="auto"/>
              <w:right w:val="double" w:sz="6" w:space="0" w:color="auto"/>
            </w:tcBorders>
          </w:tcPr>
          <w:p w:rsidR="00000000" w:rsidRDefault="00C40079">
            <w:pPr>
              <w:jc w:val="right"/>
              <w:rPr>
                <w:snapToGrid w:val="0"/>
                <w:color w:val="000000"/>
                <w:sz w:val="24"/>
              </w:rPr>
            </w:pPr>
            <w:r>
              <w:rPr>
                <w:snapToGrid w:val="0"/>
                <w:color w:val="000000"/>
                <w:sz w:val="24"/>
              </w:rPr>
              <w:t>-7,904</w:t>
            </w:r>
          </w:p>
        </w:tc>
      </w:tr>
      <w:tr w:rsidR="00000000">
        <w:tblPrEx>
          <w:tblCellMar>
            <w:top w:w="0" w:type="dxa"/>
            <w:bottom w:w="0" w:type="dxa"/>
          </w:tblCellMar>
        </w:tblPrEx>
        <w:trPr>
          <w:trHeight w:val="253"/>
        </w:trPr>
        <w:tc>
          <w:tcPr>
            <w:tcW w:w="2430" w:type="dxa"/>
            <w:tcBorders>
              <w:top w:val="single" w:sz="6" w:space="0" w:color="auto"/>
              <w:left w:val="double" w:sz="6" w:space="0" w:color="auto"/>
              <w:bottom w:val="single" w:sz="6" w:space="0" w:color="auto"/>
              <w:right w:val="single" w:sz="18" w:space="0" w:color="auto"/>
            </w:tcBorders>
          </w:tcPr>
          <w:p w:rsidR="00000000" w:rsidRDefault="00C40079">
            <w:pPr>
              <w:tabs>
                <w:tab w:val="left" w:pos="720"/>
                <w:tab w:val="left" w:pos="1080"/>
                <w:tab w:val="left" w:pos="1440"/>
                <w:tab w:val="left" w:pos="1800"/>
                <w:tab w:val="left" w:pos="2160"/>
              </w:tabs>
              <w:rPr>
                <w:snapToGrid w:val="0"/>
                <w:color w:val="000000"/>
                <w:sz w:val="24"/>
              </w:rPr>
            </w:pPr>
            <w:r>
              <w:rPr>
                <w:snapToGrid w:val="0"/>
                <w:color w:val="000000"/>
                <w:sz w:val="24"/>
              </w:rPr>
              <w:t>PASSAIC</w:t>
            </w:r>
          </w:p>
        </w:tc>
        <w:tc>
          <w:tcPr>
            <w:tcW w:w="1890" w:type="dxa"/>
            <w:tcBorders>
              <w:top w:val="single" w:sz="6" w:space="0" w:color="auto"/>
              <w:left w:val="single" w:sz="18" w:space="0" w:color="auto"/>
              <w:bottom w:val="single" w:sz="6" w:space="0" w:color="auto"/>
              <w:right w:val="single" w:sz="18" w:space="0" w:color="auto"/>
            </w:tcBorders>
          </w:tcPr>
          <w:p w:rsidR="00000000" w:rsidRDefault="00C40079">
            <w:pPr>
              <w:jc w:val="right"/>
              <w:rPr>
                <w:snapToGrid w:val="0"/>
                <w:color w:val="000000"/>
                <w:sz w:val="24"/>
              </w:rPr>
            </w:pPr>
            <w:r>
              <w:rPr>
                <w:snapToGrid w:val="0"/>
                <w:color w:val="000000"/>
                <w:sz w:val="24"/>
              </w:rPr>
              <w:t>-40.2%</w:t>
            </w:r>
          </w:p>
        </w:tc>
        <w:tc>
          <w:tcPr>
            <w:tcW w:w="1440" w:type="dxa"/>
            <w:tcBorders>
              <w:top w:val="single" w:sz="6" w:space="0" w:color="auto"/>
              <w:left w:val="single" w:sz="18"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12,644</w:t>
            </w:r>
          </w:p>
        </w:tc>
        <w:tc>
          <w:tcPr>
            <w:tcW w:w="1440" w:type="dxa"/>
            <w:tcBorders>
              <w:top w:val="single" w:sz="6" w:space="0" w:color="auto"/>
              <w:left w:val="single" w:sz="6"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7,560</w:t>
            </w:r>
          </w:p>
        </w:tc>
        <w:tc>
          <w:tcPr>
            <w:tcW w:w="1350" w:type="dxa"/>
            <w:tcBorders>
              <w:top w:val="single" w:sz="6" w:space="0" w:color="auto"/>
              <w:left w:val="single" w:sz="6" w:space="0" w:color="auto"/>
              <w:bottom w:val="single" w:sz="6" w:space="0" w:color="auto"/>
              <w:right w:val="double" w:sz="6" w:space="0" w:color="auto"/>
            </w:tcBorders>
          </w:tcPr>
          <w:p w:rsidR="00000000" w:rsidRDefault="00C40079">
            <w:pPr>
              <w:jc w:val="right"/>
              <w:rPr>
                <w:snapToGrid w:val="0"/>
                <w:color w:val="000000"/>
                <w:sz w:val="24"/>
              </w:rPr>
            </w:pPr>
            <w:r>
              <w:rPr>
                <w:snapToGrid w:val="0"/>
                <w:color w:val="000000"/>
                <w:sz w:val="24"/>
              </w:rPr>
              <w:t>-5,084</w:t>
            </w:r>
          </w:p>
        </w:tc>
      </w:tr>
      <w:tr w:rsidR="00000000">
        <w:tblPrEx>
          <w:tblCellMar>
            <w:top w:w="0" w:type="dxa"/>
            <w:bottom w:w="0" w:type="dxa"/>
          </w:tblCellMar>
        </w:tblPrEx>
        <w:trPr>
          <w:trHeight w:val="253"/>
        </w:trPr>
        <w:tc>
          <w:tcPr>
            <w:tcW w:w="2430" w:type="dxa"/>
            <w:tcBorders>
              <w:top w:val="single" w:sz="6" w:space="0" w:color="auto"/>
              <w:left w:val="double" w:sz="6" w:space="0" w:color="auto"/>
              <w:bottom w:val="single" w:sz="6" w:space="0" w:color="auto"/>
              <w:right w:val="single" w:sz="18" w:space="0" w:color="auto"/>
            </w:tcBorders>
          </w:tcPr>
          <w:p w:rsidR="00000000" w:rsidRDefault="00C40079">
            <w:pPr>
              <w:tabs>
                <w:tab w:val="left" w:pos="720"/>
                <w:tab w:val="left" w:pos="1080"/>
                <w:tab w:val="left" w:pos="1440"/>
                <w:tab w:val="left" w:pos="1800"/>
                <w:tab w:val="left" w:pos="2160"/>
              </w:tabs>
              <w:rPr>
                <w:snapToGrid w:val="0"/>
                <w:color w:val="000000"/>
                <w:sz w:val="24"/>
              </w:rPr>
            </w:pPr>
            <w:r>
              <w:rPr>
                <w:snapToGrid w:val="0"/>
                <w:color w:val="000000"/>
                <w:sz w:val="24"/>
              </w:rPr>
              <w:t>SOMERSET</w:t>
            </w:r>
          </w:p>
        </w:tc>
        <w:tc>
          <w:tcPr>
            <w:tcW w:w="1890" w:type="dxa"/>
            <w:tcBorders>
              <w:top w:val="single" w:sz="6" w:space="0" w:color="auto"/>
              <w:left w:val="single" w:sz="18" w:space="0" w:color="auto"/>
              <w:bottom w:val="single" w:sz="6" w:space="0" w:color="auto"/>
              <w:right w:val="single" w:sz="18" w:space="0" w:color="auto"/>
            </w:tcBorders>
          </w:tcPr>
          <w:p w:rsidR="00000000" w:rsidRDefault="00C40079">
            <w:pPr>
              <w:jc w:val="right"/>
              <w:rPr>
                <w:snapToGrid w:val="0"/>
                <w:color w:val="000000"/>
                <w:sz w:val="24"/>
              </w:rPr>
            </w:pPr>
            <w:r>
              <w:rPr>
                <w:snapToGrid w:val="0"/>
                <w:color w:val="000000"/>
                <w:sz w:val="24"/>
              </w:rPr>
              <w:t>-40.7%</w:t>
            </w:r>
          </w:p>
        </w:tc>
        <w:tc>
          <w:tcPr>
            <w:tcW w:w="1440" w:type="dxa"/>
            <w:tcBorders>
              <w:top w:val="single" w:sz="6" w:space="0" w:color="auto"/>
              <w:left w:val="single" w:sz="18"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12,548</w:t>
            </w:r>
          </w:p>
        </w:tc>
        <w:tc>
          <w:tcPr>
            <w:tcW w:w="1440" w:type="dxa"/>
            <w:tcBorders>
              <w:top w:val="single" w:sz="6" w:space="0" w:color="auto"/>
              <w:left w:val="single" w:sz="6"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7,437</w:t>
            </w:r>
          </w:p>
        </w:tc>
        <w:tc>
          <w:tcPr>
            <w:tcW w:w="1350" w:type="dxa"/>
            <w:tcBorders>
              <w:top w:val="single" w:sz="6" w:space="0" w:color="auto"/>
              <w:left w:val="single" w:sz="6" w:space="0" w:color="auto"/>
              <w:bottom w:val="single" w:sz="6" w:space="0" w:color="auto"/>
              <w:right w:val="double" w:sz="6" w:space="0" w:color="auto"/>
            </w:tcBorders>
          </w:tcPr>
          <w:p w:rsidR="00000000" w:rsidRDefault="00C40079">
            <w:pPr>
              <w:jc w:val="right"/>
              <w:rPr>
                <w:snapToGrid w:val="0"/>
                <w:color w:val="000000"/>
                <w:sz w:val="24"/>
              </w:rPr>
            </w:pPr>
            <w:r>
              <w:rPr>
                <w:snapToGrid w:val="0"/>
                <w:color w:val="000000"/>
                <w:sz w:val="24"/>
              </w:rPr>
              <w:t>-5,112</w:t>
            </w:r>
          </w:p>
        </w:tc>
      </w:tr>
      <w:tr w:rsidR="00000000">
        <w:tblPrEx>
          <w:tblCellMar>
            <w:top w:w="0" w:type="dxa"/>
            <w:bottom w:w="0" w:type="dxa"/>
          </w:tblCellMar>
        </w:tblPrEx>
        <w:trPr>
          <w:trHeight w:val="253"/>
        </w:trPr>
        <w:tc>
          <w:tcPr>
            <w:tcW w:w="2430" w:type="dxa"/>
            <w:tcBorders>
              <w:top w:val="single" w:sz="6" w:space="0" w:color="auto"/>
              <w:left w:val="double" w:sz="6" w:space="0" w:color="auto"/>
              <w:bottom w:val="single" w:sz="6" w:space="0" w:color="auto"/>
              <w:right w:val="single" w:sz="18" w:space="0" w:color="auto"/>
            </w:tcBorders>
          </w:tcPr>
          <w:p w:rsidR="00000000" w:rsidRDefault="00C40079">
            <w:pPr>
              <w:tabs>
                <w:tab w:val="left" w:pos="720"/>
                <w:tab w:val="left" w:pos="1080"/>
                <w:tab w:val="left" w:pos="1440"/>
                <w:tab w:val="left" w:pos="1800"/>
                <w:tab w:val="left" w:pos="2160"/>
              </w:tabs>
              <w:rPr>
                <w:snapToGrid w:val="0"/>
                <w:color w:val="000000"/>
                <w:sz w:val="24"/>
              </w:rPr>
            </w:pPr>
            <w:r>
              <w:rPr>
                <w:snapToGrid w:val="0"/>
                <w:color w:val="000000"/>
                <w:sz w:val="24"/>
              </w:rPr>
              <w:t>UNION</w:t>
            </w:r>
          </w:p>
        </w:tc>
        <w:tc>
          <w:tcPr>
            <w:tcW w:w="1890" w:type="dxa"/>
            <w:tcBorders>
              <w:top w:val="single" w:sz="6" w:space="0" w:color="auto"/>
              <w:left w:val="single" w:sz="18" w:space="0" w:color="auto"/>
              <w:bottom w:val="single" w:sz="6" w:space="0" w:color="auto"/>
              <w:right w:val="single" w:sz="18" w:space="0" w:color="auto"/>
            </w:tcBorders>
          </w:tcPr>
          <w:p w:rsidR="00000000" w:rsidRDefault="00C40079">
            <w:pPr>
              <w:jc w:val="right"/>
              <w:rPr>
                <w:snapToGrid w:val="0"/>
                <w:color w:val="000000"/>
                <w:sz w:val="24"/>
              </w:rPr>
            </w:pPr>
            <w:r>
              <w:rPr>
                <w:snapToGrid w:val="0"/>
                <w:color w:val="000000"/>
                <w:sz w:val="24"/>
              </w:rPr>
              <w:t>-</w:t>
            </w:r>
            <w:r>
              <w:rPr>
                <w:snapToGrid w:val="0"/>
                <w:color w:val="000000"/>
                <w:sz w:val="24"/>
              </w:rPr>
              <w:t>29.7%</w:t>
            </w:r>
          </w:p>
        </w:tc>
        <w:tc>
          <w:tcPr>
            <w:tcW w:w="1440" w:type="dxa"/>
            <w:tcBorders>
              <w:top w:val="single" w:sz="6" w:space="0" w:color="auto"/>
              <w:left w:val="single" w:sz="18"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23,555</w:t>
            </w:r>
          </w:p>
        </w:tc>
        <w:tc>
          <w:tcPr>
            <w:tcW w:w="1440" w:type="dxa"/>
            <w:tcBorders>
              <w:top w:val="single" w:sz="6" w:space="0" w:color="auto"/>
              <w:left w:val="single" w:sz="6" w:space="0" w:color="auto"/>
              <w:bottom w:val="single" w:sz="6" w:space="0" w:color="auto"/>
              <w:right w:val="single" w:sz="6" w:space="0" w:color="auto"/>
            </w:tcBorders>
          </w:tcPr>
          <w:p w:rsidR="00000000" w:rsidRDefault="00C40079">
            <w:pPr>
              <w:jc w:val="right"/>
              <w:rPr>
                <w:snapToGrid w:val="0"/>
                <w:color w:val="000000"/>
                <w:sz w:val="24"/>
              </w:rPr>
            </w:pPr>
            <w:r>
              <w:rPr>
                <w:snapToGrid w:val="0"/>
                <w:color w:val="000000"/>
                <w:sz w:val="24"/>
              </w:rPr>
              <w:t>16,556</w:t>
            </w:r>
          </w:p>
        </w:tc>
        <w:tc>
          <w:tcPr>
            <w:tcW w:w="1350" w:type="dxa"/>
            <w:tcBorders>
              <w:top w:val="single" w:sz="6" w:space="0" w:color="auto"/>
              <w:left w:val="single" w:sz="6" w:space="0" w:color="auto"/>
              <w:bottom w:val="single" w:sz="6" w:space="0" w:color="auto"/>
              <w:right w:val="double" w:sz="6" w:space="0" w:color="auto"/>
            </w:tcBorders>
          </w:tcPr>
          <w:p w:rsidR="00000000" w:rsidRDefault="00C40079">
            <w:pPr>
              <w:jc w:val="right"/>
              <w:rPr>
                <w:snapToGrid w:val="0"/>
                <w:color w:val="000000"/>
                <w:sz w:val="24"/>
              </w:rPr>
            </w:pPr>
            <w:r>
              <w:rPr>
                <w:snapToGrid w:val="0"/>
                <w:color w:val="000000"/>
                <w:sz w:val="24"/>
              </w:rPr>
              <w:t>-7,000</w:t>
            </w:r>
          </w:p>
        </w:tc>
      </w:tr>
      <w:tr w:rsidR="00000000">
        <w:tblPrEx>
          <w:tblCellMar>
            <w:top w:w="0" w:type="dxa"/>
            <w:bottom w:w="0" w:type="dxa"/>
          </w:tblCellMar>
        </w:tblPrEx>
        <w:trPr>
          <w:trHeight w:val="477"/>
        </w:trPr>
        <w:tc>
          <w:tcPr>
            <w:tcW w:w="2430" w:type="dxa"/>
            <w:tcBorders>
              <w:top w:val="double" w:sz="6" w:space="0" w:color="auto"/>
              <w:left w:val="double" w:sz="6" w:space="0" w:color="auto"/>
              <w:bottom w:val="double" w:sz="6" w:space="0" w:color="auto"/>
              <w:right w:val="single" w:sz="18" w:space="0" w:color="auto"/>
            </w:tcBorders>
          </w:tcPr>
          <w:p w:rsidR="00000000" w:rsidRDefault="00C40079">
            <w:pPr>
              <w:tabs>
                <w:tab w:val="left" w:pos="720"/>
                <w:tab w:val="left" w:pos="1080"/>
                <w:tab w:val="left" w:pos="1440"/>
                <w:tab w:val="left" w:pos="1800"/>
                <w:tab w:val="left" w:pos="2160"/>
              </w:tabs>
              <w:rPr>
                <w:b/>
                <w:snapToGrid w:val="0"/>
                <w:color w:val="000000"/>
                <w:sz w:val="24"/>
              </w:rPr>
            </w:pPr>
            <w:r>
              <w:rPr>
                <w:b/>
                <w:snapToGrid w:val="0"/>
                <w:color w:val="000000"/>
                <w:sz w:val="24"/>
              </w:rPr>
              <w:t>TOTAL for the New Jersey portion of the NY/NJ/ LI/CT Area</w:t>
            </w:r>
          </w:p>
        </w:tc>
        <w:tc>
          <w:tcPr>
            <w:tcW w:w="1890" w:type="dxa"/>
            <w:tcBorders>
              <w:top w:val="double" w:sz="6" w:space="0" w:color="auto"/>
              <w:left w:val="single" w:sz="18" w:space="0" w:color="auto"/>
              <w:bottom w:val="double" w:sz="6" w:space="0" w:color="auto"/>
              <w:right w:val="single" w:sz="18" w:space="0" w:color="auto"/>
            </w:tcBorders>
          </w:tcPr>
          <w:p w:rsidR="00000000" w:rsidRDefault="00C40079">
            <w:pPr>
              <w:jc w:val="right"/>
              <w:rPr>
                <w:b/>
                <w:snapToGrid w:val="0"/>
                <w:color w:val="000000"/>
                <w:sz w:val="24"/>
              </w:rPr>
            </w:pPr>
          </w:p>
          <w:p w:rsidR="00000000" w:rsidRDefault="00C40079">
            <w:pPr>
              <w:jc w:val="right"/>
              <w:rPr>
                <w:b/>
                <w:snapToGrid w:val="0"/>
                <w:color w:val="000000"/>
                <w:sz w:val="24"/>
              </w:rPr>
            </w:pPr>
            <w:r>
              <w:rPr>
                <w:b/>
                <w:snapToGrid w:val="0"/>
                <w:color w:val="000000"/>
                <w:sz w:val="24"/>
              </w:rPr>
              <w:t>-32.3%</w:t>
            </w:r>
          </w:p>
        </w:tc>
        <w:tc>
          <w:tcPr>
            <w:tcW w:w="1440" w:type="dxa"/>
            <w:tcBorders>
              <w:top w:val="double" w:sz="6" w:space="0" w:color="auto"/>
              <w:left w:val="single" w:sz="18" w:space="0" w:color="auto"/>
              <w:bottom w:val="double" w:sz="6" w:space="0" w:color="auto"/>
              <w:right w:val="single" w:sz="6" w:space="0" w:color="auto"/>
            </w:tcBorders>
          </w:tcPr>
          <w:p w:rsidR="00000000" w:rsidRDefault="00C40079">
            <w:pPr>
              <w:jc w:val="right"/>
              <w:rPr>
                <w:b/>
                <w:snapToGrid w:val="0"/>
                <w:color w:val="000000"/>
                <w:sz w:val="24"/>
              </w:rPr>
            </w:pPr>
          </w:p>
          <w:p w:rsidR="00000000" w:rsidRDefault="00C40079">
            <w:pPr>
              <w:jc w:val="right"/>
              <w:rPr>
                <w:b/>
                <w:snapToGrid w:val="0"/>
                <w:color w:val="000000"/>
                <w:sz w:val="24"/>
              </w:rPr>
            </w:pPr>
            <w:r>
              <w:rPr>
                <w:b/>
                <w:snapToGrid w:val="0"/>
                <w:color w:val="000000"/>
                <w:sz w:val="24"/>
              </w:rPr>
              <w:t>236,251</w:t>
            </w:r>
          </w:p>
        </w:tc>
        <w:tc>
          <w:tcPr>
            <w:tcW w:w="1440" w:type="dxa"/>
            <w:tcBorders>
              <w:top w:val="double" w:sz="6" w:space="0" w:color="auto"/>
              <w:left w:val="single" w:sz="6" w:space="0" w:color="auto"/>
              <w:bottom w:val="double" w:sz="6" w:space="0" w:color="auto"/>
              <w:right w:val="single" w:sz="6" w:space="0" w:color="auto"/>
            </w:tcBorders>
          </w:tcPr>
          <w:p w:rsidR="00000000" w:rsidRDefault="00C40079">
            <w:pPr>
              <w:jc w:val="right"/>
              <w:rPr>
                <w:b/>
                <w:snapToGrid w:val="0"/>
                <w:color w:val="000000"/>
                <w:sz w:val="24"/>
              </w:rPr>
            </w:pPr>
          </w:p>
          <w:p w:rsidR="00000000" w:rsidRDefault="00C40079">
            <w:pPr>
              <w:jc w:val="right"/>
              <w:rPr>
                <w:b/>
                <w:snapToGrid w:val="0"/>
                <w:color w:val="000000"/>
                <w:sz w:val="24"/>
              </w:rPr>
            </w:pPr>
            <w:r>
              <w:rPr>
                <w:b/>
                <w:snapToGrid w:val="0"/>
                <w:color w:val="000000"/>
                <w:sz w:val="24"/>
              </w:rPr>
              <w:t>159,990</w:t>
            </w:r>
          </w:p>
        </w:tc>
        <w:tc>
          <w:tcPr>
            <w:tcW w:w="1350" w:type="dxa"/>
            <w:tcBorders>
              <w:top w:val="double" w:sz="6" w:space="0" w:color="auto"/>
              <w:left w:val="single" w:sz="6" w:space="0" w:color="auto"/>
              <w:bottom w:val="double" w:sz="6" w:space="0" w:color="auto"/>
              <w:right w:val="double" w:sz="6" w:space="0" w:color="auto"/>
            </w:tcBorders>
          </w:tcPr>
          <w:p w:rsidR="00000000" w:rsidRDefault="00C40079">
            <w:pPr>
              <w:jc w:val="right"/>
              <w:rPr>
                <w:b/>
                <w:snapToGrid w:val="0"/>
                <w:color w:val="000000"/>
                <w:sz w:val="24"/>
              </w:rPr>
            </w:pPr>
          </w:p>
          <w:p w:rsidR="00000000" w:rsidRDefault="00C40079">
            <w:pPr>
              <w:jc w:val="right"/>
              <w:rPr>
                <w:b/>
                <w:snapToGrid w:val="0"/>
                <w:color w:val="000000"/>
                <w:sz w:val="24"/>
              </w:rPr>
            </w:pPr>
            <w:r>
              <w:rPr>
                <w:b/>
                <w:snapToGrid w:val="0"/>
                <w:color w:val="000000"/>
                <w:sz w:val="24"/>
              </w:rPr>
              <w:t>-76,261</w:t>
            </w:r>
          </w:p>
        </w:tc>
      </w:tr>
    </w:tbl>
    <w:p w:rsidR="00000000" w:rsidRDefault="00C40079">
      <w:pPr>
        <w:pStyle w:val="Level2"/>
        <w:tabs>
          <w:tab w:val="left" w:pos="720"/>
          <w:tab w:val="left" w:pos="1080"/>
          <w:tab w:val="left" w:pos="1440"/>
          <w:tab w:val="left" w:pos="1800"/>
          <w:tab w:val="left" w:pos="2160"/>
        </w:tabs>
        <w:rPr>
          <w:b/>
        </w:rPr>
      </w:pP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New Jersey portion of the New York /New Jersey/Long Island/Connecticut PM</w:t>
      </w:r>
      <w:r>
        <w:rPr>
          <w:vertAlign w:val="subscript"/>
        </w:rPr>
        <w:t>2.5</w:t>
      </w:r>
      <w:r>
        <w:t xml:space="preserve"> nonattainment area meets the USEPA criterion for pr</w:t>
      </w:r>
      <w:r>
        <w:t>ogress towards attainment and is eligible for establishing an early PM</w:t>
      </w:r>
      <w:r>
        <w:rPr>
          <w:vertAlign w:val="subscript"/>
        </w:rPr>
        <w:t>2.5</w:t>
      </w:r>
      <w:r>
        <w:t xml:space="preserve"> transportation budget. The calculation methodologies used for the emissions are found in Appendix C.</w:t>
      </w:r>
    </w:p>
    <w:p w:rsidR="00000000" w:rsidRDefault="00C40079">
      <w:pPr>
        <w:pStyle w:val="Level2"/>
        <w:tabs>
          <w:tab w:val="left" w:pos="720"/>
          <w:tab w:val="left" w:pos="1080"/>
          <w:tab w:val="left" w:pos="1440"/>
          <w:tab w:val="left" w:pos="1800"/>
          <w:tab w:val="left" w:pos="2160"/>
        </w:tabs>
        <w:rPr>
          <w:u w:val="single"/>
        </w:rPr>
      </w:pP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32"/>
        </w:numPr>
        <w:tabs>
          <w:tab w:val="left" w:pos="720"/>
          <w:tab w:val="left" w:pos="1080"/>
          <w:tab w:val="left" w:pos="1440"/>
          <w:tab w:val="left" w:pos="1800"/>
          <w:tab w:val="left" w:pos="2160"/>
        </w:tabs>
        <w:ind w:left="1800"/>
        <w:rPr>
          <w:b/>
        </w:rPr>
      </w:pPr>
      <w:bookmarkStart w:id="138" w:name="Early_TC_PM_NOx"/>
      <w:bookmarkStart w:id="139" w:name="_Hlt126641468"/>
      <w:bookmarkEnd w:id="139"/>
      <w:r>
        <w:rPr>
          <w:b/>
        </w:rPr>
        <w:t>Early Transportation Conformity Emission Budgets for PM</w:t>
      </w:r>
      <w:r>
        <w:rPr>
          <w:b/>
          <w:vertAlign w:val="subscript"/>
        </w:rPr>
        <w:t>2.5</w:t>
      </w:r>
      <w:r>
        <w:rPr>
          <w:b/>
        </w:rPr>
        <w:t xml:space="preserve"> and Annual NO</w:t>
      </w:r>
      <w:r>
        <w:rPr>
          <w:b/>
          <w:vertAlign w:val="subscript"/>
        </w:rPr>
        <w:t>x</w:t>
      </w:r>
      <w:bookmarkEnd w:id="138"/>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 xml:space="preserve">The </w:t>
      </w:r>
      <w:r>
        <w:t>early direct PM</w:t>
      </w:r>
      <w:r>
        <w:rPr>
          <w:vertAlign w:val="subscript"/>
        </w:rPr>
        <w:t>2.5</w:t>
      </w:r>
      <w:r>
        <w:t xml:space="preserve"> and annual NO</w:t>
      </w:r>
      <w:r>
        <w:rPr>
          <w:vertAlign w:val="subscript"/>
        </w:rPr>
        <w:t>x</w:t>
      </w:r>
      <w:r>
        <w:t xml:space="preserve"> transportation conformity emission budgets are provided in Table XII.  These budgets must be used for future transportation conformity determinations by the Metropolitan Planning Organizations once the USEPA finds them ade</w:t>
      </w:r>
      <w:r>
        <w:t>quate or approves them.</w:t>
      </w:r>
    </w:p>
    <w:p w:rsidR="00000000" w:rsidRDefault="00C40079">
      <w:pPr>
        <w:pStyle w:val="Level2"/>
        <w:tabs>
          <w:tab w:val="left" w:pos="720"/>
          <w:tab w:val="left" w:pos="1080"/>
          <w:tab w:val="left" w:pos="1440"/>
          <w:tab w:val="left" w:pos="1800"/>
          <w:tab w:val="left" w:pos="2160"/>
        </w:tabs>
      </w:pPr>
      <w:r>
        <w:br/>
      </w:r>
    </w:p>
    <w:p w:rsidR="00000000" w:rsidRDefault="00C40079">
      <w:pPr>
        <w:pStyle w:val="Level2"/>
        <w:tabs>
          <w:tab w:val="left" w:pos="720"/>
          <w:tab w:val="left" w:pos="1080"/>
          <w:tab w:val="left" w:pos="1440"/>
          <w:tab w:val="left" w:pos="1800"/>
          <w:tab w:val="left" w:pos="2160"/>
        </w:tabs>
      </w:pPr>
      <w:r>
        <w:br w:type="page"/>
      </w:r>
    </w:p>
    <w:p w:rsidR="00000000" w:rsidRDefault="00C40079">
      <w:pPr>
        <w:pStyle w:val="Level2"/>
        <w:tabs>
          <w:tab w:val="left" w:pos="720"/>
          <w:tab w:val="left" w:pos="1080"/>
          <w:tab w:val="left" w:pos="1440"/>
          <w:tab w:val="left" w:pos="1800"/>
          <w:tab w:val="left" w:pos="2160"/>
        </w:tabs>
        <w:jc w:val="center"/>
        <w:rPr>
          <w:b/>
        </w:rPr>
      </w:pPr>
      <w:bookmarkStart w:id="140" w:name="Table_XII"/>
      <w:bookmarkStart w:id="141" w:name="_Hlt126641923"/>
      <w:bookmarkEnd w:id="141"/>
      <w:r>
        <w:rPr>
          <w:b/>
        </w:rPr>
        <w:t>Table X</w:t>
      </w:r>
      <w:bookmarkEnd w:id="140"/>
      <w:r>
        <w:rPr>
          <w:b/>
        </w:rPr>
        <w:t>II</w:t>
      </w:r>
    </w:p>
    <w:p w:rsidR="00000000" w:rsidRDefault="00C40079">
      <w:pPr>
        <w:pStyle w:val="Level2"/>
        <w:tabs>
          <w:tab w:val="left" w:pos="720"/>
          <w:tab w:val="left" w:pos="1080"/>
          <w:tab w:val="left" w:pos="1440"/>
          <w:tab w:val="left" w:pos="1800"/>
          <w:tab w:val="left" w:pos="2160"/>
        </w:tabs>
        <w:jc w:val="center"/>
        <w:rPr>
          <w:b/>
        </w:rPr>
      </w:pPr>
      <w:r>
        <w:rPr>
          <w:b/>
        </w:rPr>
        <w:t>Transportation Conformity Emission Budgets</w:t>
      </w:r>
    </w:p>
    <w:p w:rsidR="00000000" w:rsidRDefault="00C40079">
      <w:pPr>
        <w:pStyle w:val="Level2"/>
        <w:widowControl/>
        <w:tabs>
          <w:tab w:val="left" w:pos="720"/>
          <w:tab w:val="left" w:pos="1080"/>
          <w:tab w:val="left" w:pos="1440"/>
          <w:tab w:val="left" w:pos="1800"/>
          <w:tab w:val="left" w:pos="2160"/>
        </w:tabs>
      </w:pPr>
    </w:p>
    <w:tbl>
      <w:tblPr>
        <w:tblW w:w="0" w:type="auto"/>
        <w:tblInd w:w="-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00" w:firstRow="0" w:lastRow="0" w:firstColumn="0" w:lastColumn="0" w:noHBand="0" w:noVBand="0"/>
      </w:tblPr>
      <w:tblGrid>
        <w:gridCol w:w="4140"/>
        <w:gridCol w:w="3420"/>
        <w:gridCol w:w="3060"/>
      </w:tblGrid>
      <w:tr w:rsidR="00000000">
        <w:tblPrEx>
          <w:tblCellMar>
            <w:top w:w="0" w:type="dxa"/>
            <w:bottom w:w="0" w:type="dxa"/>
          </w:tblCellMar>
        </w:tblPrEx>
        <w:trPr>
          <w:cantSplit/>
          <w:trHeight w:val="486"/>
        </w:trPr>
        <w:tc>
          <w:tcPr>
            <w:tcW w:w="4140" w:type="dxa"/>
            <w:vMerge w:val="restart"/>
            <w:tcBorders>
              <w:top w:val="double" w:sz="4" w:space="0" w:color="auto"/>
              <w:left w:val="double" w:sz="4" w:space="0" w:color="auto"/>
              <w:bottom w:val="double" w:sz="4" w:space="0" w:color="auto"/>
              <w:right w:val="double" w:sz="4" w:space="0" w:color="auto"/>
            </w:tcBorders>
            <w:shd w:val="pct20" w:color="auto" w:fill="FFFFFF"/>
            <w:vAlign w:val="center"/>
          </w:tcPr>
          <w:p w:rsidR="00000000" w:rsidRDefault="00C40079">
            <w:pPr>
              <w:tabs>
                <w:tab w:val="left" w:pos="360"/>
                <w:tab w:val="left" w:pos="720"/>
                <w:tab w:val="left" w:pos="1080"/>
                <w:tab w:val="left" w:pos="1440"/>
                <w:tab w:val="left" w:pos="1800"/>
                <w:tab w:val="left" w:pos="2160"/>
              </w:tabs>
              <w:jc w:val="center"/>
              <w:rPr>
                <w:b/>
                <w:sz w:val="24"/>
              </w:rPr>
            </w:pPr>
            <w:r>
              <w:rPr>
                <w:b/>
                <w:sz w:val="24"/>
              </w:rPr>
              <w:t>Transportation</w:t>
            </w:r>
          </w:p>
          <w:p w:rsidR="00000000" w:rsidRDefault="00C40079">
            <w:pPr>
              <w:pStyle w:val="Heading3"/>
              <w:tabs>
                <w:tab w:val="left" w:pos="360"/>
                <w:tab w:val="left" w:pos="720"/>
                <w:tab w:val="left" w:pos="1080"/>
                <w:tab w:val="left" w:pos="1440"/>
                <w:tab w:val="left" w:pos="1800"/>
                <w:tab w:val="left" w:pos="2160"/>
              </w:tabs>
            </w:pPr>
            <w:r>
              <w:t>Planning Area</w:t>
            </w:r>
          </w:p>
        </w:tc>
        <w:tc>
          <w:tcPr>
            <w:tcW w:w="3420" w:type="dxa"/>
            <w:tcBorders>
              <w:top w:val="double" w:sz="4" w:space="0" w:color="auto"/>
              <w:left w:val="nil"/>
              <w:bottom w:val="nil"/>
              <w:right w:val="double" w:sz="4" w:space="0" w:color="auto"/>
            </w:tcBorders>
            <w:shd w:val="pct20" w:color="auto" w:fill="FFFFFF"/>
          </w:tcPr>
          <w:p w:rsidR="00000000" w:rsidRDefault="00C40079">
            <w:pPr>
              <w:tabs>
                <w:tab w:val="left" w:pos="360"/>
                <w:tab w:val="left" w:pos="720"/>
                <w:tab w:val="left" w:pos="1080"/>
                <w:tab w:val="left" w:pos="1440"/>
                <w:tab w:val="left" w:pos="1800"/>
                <w:tab w:val="left" w:pos="2160"/>
              </w:tabs>
              <w:jc w:val="center"/>
              <w:rPr>
                <w:b/>
                <w:sz w:val="24"/>
                <w:vertAlign w:val="superscript"/>
              </w:rPr>
            </w:pPr>
            <w:r>
              <w:rPr>
                <w:b/>
                <w:sz w:val="24"/>
              </w:rPr>
              <w:t>Direct PM</w:t>
            </w:r>
            <w:r>
              <w:rPr>
                <w:b/>
                <w:sz w:val="24"/>
                <w:vertAlign w:val="subscript"/>
              </w:rPr>
              <w:t>2.5</w:t>
            </w:r>
            <w:r>
              <w:rPr>
                <w:b/>
                <w:sz w:val="24"/>
              </w:rPr>
              <w:t xml:space="preserve"> Emissions</w:t>
            </w:r>
            <w:r>
              <w:rPr>
                <w:b/>
                <w:sz w:val="24"/>
                <w:vertAlign w:val="superscript"/>
              </w:rPr>
              <w:t>(1)</w:t>
            </w:r>
          </w:p>
          <w:p w:rsidR="00000000" w:rsidRDefault="00C40079">
            <w:pPr>
              <w:tabs>
                <w:tab w:val="left" w:pos="360"/>
                <w:tab w:val="left" w:pos="720"/>
                <w:tab w:val="left" w:pos="1080"/>
                <w:tab w:val="left" w:pos="1440"/>
                <w:tab w:val="left" w:pos="1800"/>
                <w:tab w:val="left" w:pos="2160"/>
              </w:tabs>
              <w:jc w:val="center"/>
              <w:rPr>
                <w:b/>
                <w:sz w:val="24"/>
              </w:rPr>
            </w:pPr>
            <w:r>
              <w:rPr>
                <w:b/>
                <w:sz w:val="24"/>
              </w:rPr>
              <w:t>(tons per year)</w:t>
            </w:r>
          </w:p>
        </w:tc>
        <w:tc>
          <w:tcPr>
            <w:tcW w:w="3060" w:type="dxa"/>
            <w:tcBorders>
              <w:top w:val="double" w:sz="4" w:space="0" w:color="auto"/>
              <w:left w:val="nil"/>
              <w:bottom w:val="nil"/>
              <w:right w:val="double" w:sz="4" w:space="0" w:color="auto"/>
            </w:tcBorders>
            <w:shd w:val="pct20" w:color="auto" w:fill="FFFFFF"/>
          </w:tcPr>
          <w:p w:rsidR="00000000" w:rsidRDefault="00C40079">
            <w:pPr>
              <w:tabs>
                <w:tab w:val="left" w:pos="360"/>
                <w:tab w:val="left" w:pos="720"/>
                <w:tab w:val="left" w:pos="1080"/>
                <w:tab w:val="left" w:pos="1440"/>
                <w:tab w:val="left" w:pos="1800"/>
                <w:tab w:val="left" w:pos="2160"/>
              </w:tabs>
              <w:jc w:val="center"/>
              <w:rPr>
                <w:b/>
                <w:sz w:val="24"/>
              </w:rPr>
            </w:pPr>
            <w:r>
              <w:rPr>
                <w:b/>
                <w:sz w:val="24"/>
              </w:rPr>
              <w:t>Annual NO</w:t>
            </w:r>
            <w:r>
              <w:rPr>
                <w:b/>
                <w:sz w:val="24"/>
                <w:vertAlign w:val="subscript"/>
              </w:rPr>
              <w:t>x</w:t>
            </w:r>
            <w:r>
              <w:rPr>
                <w:b/>
                <w:sz w:val="24"/>
              </w:rPr>
              <w:t xml:space="preserve"> Emissions</w:t>
            </w:r>
          </w:p>
          <w:p w:rsidR="00000000" w:rsidRDefault="00C40079">
            <w:pPr>
              <w:tabs>
                <w:tab w:val="left" w:pos="360"/>
                <w:tab w:val="left" w:pos="720"/>
                <w:tab w:val="left" w:pos="1080"/>
                <w:tab w:val="left" w:pos="1440"/>
                <w:tab w:val="left" w:pos="1800"/>
                <w:tab w:val="left" w:pos="2160"/>
              </w:tabs>
              <w:jc w:val="center"/>
              <w:rPr>
                <w:b/>
                <w:sz w:val="24"/>
              </w:rPr>
            </w:pPr>
            <w:r>
              <w:rPr>
                <w:b/>
                <w:sz w:val="24"/>
              </w:rPr>
              <w:t>(tons per year)</w:t>
            </w:r>
          </w:p>
        </w:tc>
      </w:tr>
      <w:tr w:rsidR="00000000">
        <w:tblPrEx>
          <w:tblCellMar>
            <w:top w:w="0" w:type="dxa"/>
            <w:bottom w:w="0" w:type="dxa"/>
          </w:tblCellMar>
        </w:tblPrEx>
        <w:trPr>
          <w:cantSplit/>
          <w:trHeight w:val="318"/>
        </w:trPr>
        <w:tc>
          <w:tcPr>
            <w:tcW w:w="4140" w:type="dxa"/>
            <w:vMerge/>
            <w:tcBorders>
              <w:top w:val="double" w:sz="4" w:space="0" w:color="auto"/>
              <w:left w:val="double" w:sz="4" w:space="0" w:color="auto"/>
              <w:bottom w:val="nil"/>
              <w:right w:val="double" w:sz="4" w:space="0" w:color="auto"/>
            </w:tcBorders>
            <w:vAlign w:val="center"/>
          </w:tcPr>
          <w:p w:rsidR="00000000" w:rsidRDefault="00C40079">
            <w:pPr>
              <w:tabs>
                <w:tab w:val="left" w:pos="360"/>
                <w:tab w:val="left" w:pos="720"/>
                <w:tab w:val="left" w:pos="1080"/>
                <w:tab w:val="left" w:pos="1440"/>
                <w:tab w:val="left" w:pos="1800"/>
                <w:tab w:val="left" w:pos="2160"/>
              </w:tabs>
              <w:jc w:val="center"/>
              <w:rPr>
                <w:b/>
                <w:sz w:val="24"/>
              </w:rPr>
            </w:pPr>
          </w:p>
        </w:tc>
        <w:tc>
          <w:tcPr>
            <w:tcW w:w="3420" w:type="dxa"/>
            <w:tcBorders>
              <w:top w:val="single" w:sz="8" w:space="0" w:color="auto"/>
              <w:left w:val="nil"/>
              <w:bottom w:val="nil"/>
              <w:right w:val="double" w:sz="4" w:space="0" w:color="auto"/>
            </w:tcBorders>
            <w:shd w:val="pct12" w:color="auto" w:fill="FFFFFF"/>
            <w:vAlign w:val="center"/>
          </w:tcPr>
          <w:p w:rsidR="00000000" w:rsidRDefault="00C40079">
            <w:pPr>
              <w:tabs>
                <w:tab w:val="left" w:pos="360"/>
                <w:tab w:val="left" w:pos="720"/>
                <w:tab w:val="left" w:pos="1080"/>
                <w:tab w:val="left" w:pos="1440"/>
                <w:tab w:val="left" w:pos="1800"/>
                <w:tab w:val="left" w:pos="2160"/>
              </w:tabs>
              <w:jc w:val="center"/>
              <w:rPr>
                <w:b/>
                <w:sz w:val="24"/>
              </w:rPr>
            </w:pPr>
            <w:r>
              <w:rPr>
                <w:b/>
                <w:sz w:val="24"/>
              </w:rPr>
              <w:t>2009</w:t>
            </w:r>
          </w:p>
        </w:tc>
        <w:tc>
          <w:tcPr>
            <w:tcW w:w="3060" w:type="dxa"/>
            <w:tcBorders>
              <w:top w:val="single" w:sz="8" w:space="0" w:color="auto"/>
              <w:left w:val="single" w:sz="8" w:space="0" w:color="auto"/>
              <w:bottom w:val="nil"/>
              <w:right w:val="double" w:sz="4" w:space="0" w:color="auto"/>
            </w:tcBorders>
            <w:shd w:val="pct12" w:color="auto" w:fill="FFFFFF"/>
            <w:vAlign w:val="center"/>
          </w:tcPr>
          <w:p w:rsidR="00000000" w:rsidRDefault="00C40079">
            <w:pPr>
              <w:tabs>
                <w:tab w:val="left" w:pos="360"/>
                <w:tab w:val="left" w:pos="720"/>
                <w:tab w:val="left" w:pos="1080"/>
                <w:tab w:val="left" w:pos="1440"/>
                <w:tab w:val="left" w:pos="1800"/>
                <w:tab w:val="left" w:pos="2160"/>
              </w:tabs>
              <w:jc w:val="center"/>
              <w:rPr>
                <w:b/>
                <w:sz w:val="24"/>
              </w:rPr>
            </w:pPr>
            <w:r>
              <w:rPr>
                <w:b/>
                <w:sz w:val="24"/>
              </w:rPr>
              <w:t>2009</w:t>
            </w:r>
          </w:p>
        </w:tc>
      </w:tr>
      <w:tr w:rsidR="00000000">
        <w:tblPrEx>
          <w:tblCellMar>
            <w:top w:w="0" w:type="dxa"/>
            <w:bottom w:w="0" w:type="dxa"/>
          </w:tblCellMar>
        </w:tblPrEx>
        <w:trPr>
          <w:cantSplit/>
          <w:trHeight w:val="1122"/>
        </w:trPr>
        <w:tc>
          <w:tcPr>
            <w:tcW w:w="4140" w:type="dxa"/>
            <w:tcBorders>
              <w:top w:val="double" w:sz="4" w:space="0" w:color="auto"/>
              <w:left w:val="double" w:sz="4" w:space="0" w:color="auto"/>
              <w:bottom w:val="double" w:sz="4" w:space="0" w:color="auto"/>
              <w:right w:val="double" w:sz="4" w:space="0" w:color="auto"/>
            </w:tcBorders>
            <w:shd w:val="clear" w:color="auto" w:fill="FFFFFF"/>
            <w:vAlign w:val="center"/>
          </w:tcPr>
          <w:p w:rsidR="00000000" w:rsidRDefault="00C40079">
            <w:pPr>
              <w:tabs>
                <w:tab w:val="left" w:pos="360"/>
                <w:tab w:val="left" w:pos="720"/>
                <w:tab w:val="left" w:pos="1080"/>
                <w:tab w:val="left" w:pos="1440"/>
                <w:tab w:val="left" w:pos="1800"/>
                <w:tab w:val="left" w:pos="2160"/>
              </w:tabs>
              <w:jc w:val="center"/>
              <w:rPr>
                <w:sz w:val="24"/>
              </w:rPr>
            </w:pPr>
            <w:r>
              <w:rPr>
                <w:sz w:val="24"/>
              </w:rPr>
              <w:t>North Jersey Transportation</w:t>
            </w:r>
          </w:p>
          <w:p w:rsidR="00000000" w:rsidRDefault="00C40079">
            <w:pPr>
              <w:tabs>
                <w:tab w:val="left" w:pos="360"/>
                <w:tab w:val="left" w:pos="720"/>
                <w:tab w:val="left" w:pos="1080"/>
                <w:tab w:val="left" w:pos="1440"/>
                <w:tab w:val="left" w:pos="1800"/>
                <w:tab w:val="left" w:pos="2160"/>
              </w:tabs>
              <w:jc w:val="center"/>
              <w:rPr>
                <w:sz w:val="24"/>
              </w:rPr>
            </w:pPr>
            <w:r>
              <w:rPr>
                <w:sz w:val="24"/>
              </w:rPr>
              <w:t>Planning Authority</w:t>
            </w:r>
            <w:r>
              <w:rPr>
                <w:sz w:val="24"/>
                <w:vertAlign w:val="superscript"/>
              </w:rPr>
              <w:t>(2)</w:t>
            </w:r>
          </w:p>
        </w:tc>
        <w:tc>
          <w:tcPr>
            <w:tcW w:w="3420" w:type="dxa"/>
            <w:tcBorders>
              <w:top w:val="double" w:sz="4" w:space="0" w:color="auto"/>
              <w:left w:val="nil"/>
              <w:bottom w:val="double" w:sz="4" w:space="0" w:color="auto"/>
              <w:right w:val="double" w:sz="4" w:space="0" w:color="auto"/>
            </w:tcBorders>
            <w:shd w:val="clear" w:color="auto" w:fill="FFFFFF"/>
            <w:vAlign w:val="center"/>
          </w:tcPr>
          <w:p w:rsidR="00000000" w:rsidRDefault="00C40079">
            <w:pPr>
              <w:tabs>
                <w:tab w:val="left" w:pos="360"/>
                <w:tab w:val="left" w:pos="720"/>
                <w:tab w:val="left" w:pos="1080"/>
                <w:tab w:val="left" w:pos="1440"/>
                <w:tab w:val="left" w:pos="1800"/>
                <w:tab w:val="left" w:pos="2160"/>
              </w:tabs>
              <w:rPr>
                <w:sz w:val="24"/>
              </w:rPr>
            </w:pPr>
            <w:r>
              <w:rPr>
                <w:sz w:val="24"/>
              </w:rPr>
              <w:t xml:space="preserve">   </w:t>
            </w:r>
            <w:r>
              <w:rPr>
                <w:sz w:val="24"/>
              </w:rPr>
              <w:t xml:space="preserve">                      1,207</w:t>
            </w:r>
          </w:p>
        </w:tc>
        <w:tc>
          <w:tcPr>
            <w:tcW w:w="3060" w:type="dxa"/>
            <w:tcBorders>
              <w:top w:val="double" w:sz="4" w:space="0" w:color="auto"/>
              <w:left w:val="single" w:sz="8" w:space="0" w:color="auto"/>
              <w:bottom w:val="double" w:sz="4" w:space="0" w:color="auto"/>
              <w:right w:val="double" w:sz="4" w:space="0" w:color="auto"/>
            </w:tcBorders>
            <w:shd w:val="clear" w:color="auto" w:fill="FFFFFF"/>
            <w:vAlign w:val="center"/>
          </w:tcPr>
          <w:p w:rsidR="00000000" w:rsidRDefault="00C40079">
            <w:pPr>
              <w:tabs>
                <w:tab w:val="left" w:pos="360"/>
                <w:tab w:val="left" w:pos="720"/>
                <w:tab w:val="left" w:pos="1080"/>
                <w:tab w:val="left" w:pos="1440"/>
                <w:tab w:val="left" w:pos="1800"/>
                <w:tab w:val="left" w:pos="2160"/>
              </w:tabs>
              <w:jc w:val="center"/>
              <w:rPr>
                <w:sz w:val="24"/>
              </w:rPr>
            </w:pPr>
            <w:r>
              <w:rPr>
                <w:sz w:val="24"/>
              </w:rPr>
              <w:t>61,676</w:t>
            </w:r>
          </w:p>
        </w:tc>
      </w:tr>
      <w:tr w:rsidR="00000000">
        <w:tblPrEx>
          <w:tblCellMar>
            <w:top w:w="0" w:type="dxa"/>
            <w:bottom w:w="0" w:type="dxa"/>
          </w:tblCellMar>
        </w:tblPrEx>
        <w:trPr>
          <w:cantSplit/>
          <w:trHeight w:val="1140"/>
        </w:trPr>
        <w:tc>
          <w:tcPr>
            <w:tcW w:w="4140" w:type="dxa"/>
            <w:tcBorders>
              <w:top w:val="double" w:sz="4" w:space="0" w:color="auto"/>
              <w:left w:val="double" w:sz="4" w:space="0" w:color="auto"/>
              <w:bottom w:val="double" w:sz="4" w:space="0" w:color="auto"/>
              <w:right w:val="double" w:sz="4" w:space="0" w:color="auto"/>
            </w:tcBorders>
            <w:shd w:val="clear" w:color="auto" w:fill="FFFFFF"/>
            <w:vAlign w:val="center"/>
          </w:tcPr>
          <w:p w:rsidR="00000000" w:rsidRDefault="00C40079">
            <w:pPr>
              <w:tabs>
                <w:tab w:val="left" w:pos="360"/>
                <w:tab w:val="left" w:pos="720"/>
                <w:tab w:val="left" w:pos="1080"/>
                <w:tab w:val="left" w:pos="1440"/>
                <w:tab w:val="left" w:pos="1800"/>
                <w:tab w:val="left" w:pos="2160"/>
              </w:tabs>
              <w:jc w:val="center"/>
              <w:rPr>
                <w:sz w:val="24"/>
              </w:rPr>
            </w:pPr>
            <w:r>
              <w:rPr>
                <w:sz w:val="24"/>
              </w:rPr>
              <w:t>Delaware Valley Regional Planning Commission</w:t>
            </w:r>
            <w:r>
              <w:rPr>
                <w:sz w:val="24"/>
                <w:vertAlign w:val="superscript"/>
              </w:rPr>
              <w:t>(3)</w:t>
            </w:r>
          </w:p>
        </w:tc>
        <w:tc>
          <w:tcPr>
            <w:tcW w:w="3420" w:type="dxa"/>
            <w:tcBorders>
              <w:top w:val="double" w:sz="4" w:space="0" w:color="auto"/>
              <w:left w:val="nil"/>
              <w:bottom w:val="double" w:sz="4" w:space="0" w:color="auto"/>
              <w:right w:val="double" w:sz="4" w:space="0" w:color="auto"/>
            </w:tcBorders>
            <w:shd w:val="clear" w:color="auto" w:fill="FFFFFF"/>
            <w:vAlign w:val="center"/>
          </w:tcPr>
          <w:p w:rsidR="00000000" w:rsidRDefault="00C40079">
            <w:pPr>
              <w:tabs>
                <w:tab w:val="left" w:pos="360"/>
                <w:tab w:val="left" w:pos="720"/>
                <w:tab w:val="left" w:pos="1080"/>
                <w:tab w:val="left" w:pos="1440"/>
                <w:tab w:val="left" w:pos="1800"/>
                <w:tab w:val="left" w:pos="2160"/>
              </w:tabs>
              <w:rPr>
                <w:sz w:val="24"/>
              </w:rPr>
            </w:pPr>
            <w:r>
              <w:rPr>
                <w:sz w:val="24"/>
              </w:rPr>
              <w:t xml:space="preserve">                             89</w:t>
            </w:r>
          </w:p>
        </w:tc>
        <w:tc>
          <w:tcPr>
            <w:tcW w:w="3060" w:type="dxa"/>
            <w:tcBorders>
              <w:top w:val="double" w:sz="4" w:space="0" w:color="auto"/>
              <w:left w:val="single" w:sz="8" w:space="0" w:color="auto"/>
              <w:bottom w:val="double" w:sz="4" w:space="0" w:color="auto"/>
              <w:right w:val="double" w:sz="4" w:space="0" w:color="auto"/>
            </w:tcBorders>
            <w:shd w:val="clear" w:color="auto" w:fill="FFFFFF"/>
            <w:vAlign w:val="center"/>
          </w:tcPr>
          <w:p w:rsidR="00000000" w:rsidRDefault="00C40079">
            <w:pPr>
              <w:tabs>
                <w:tab w:val="left" w:pos="360"/>
                <w:tab w:val="left" w:pos="720"/>
                <w:tab w:val="left" w:pos="1080"/>
                <w:tab w:val="left" w:pos="1440"/>
                <w:tab w:val="left" w:pos="1800"/>
                <w:tab w:val="left" w:pos="2160"/>
              </w:tabs>
              <w:jc w:val="center"/>
              <w:rPr>
                <w:sz w:val="24"/>
              </w:rPr>
            </w:pPr>
            <w:r>
              <w:rPr>
                <w:sz w:val="24"/>
              </w:rPr>
              <w:t xml:space="preserve"> 4,328</w:t>
            </w:r>
          </w:p>
        </w:tc>
      </w:tr>
    </w:tbl>
    <w:p w:rsidR="00000000" w:rsidRDefault="00C40079">
      <w:pPr>
        <w:pStyle w:val="Level2"/>
        <w:tabs>
          <w:tab w:val="left" w:pos="720"/>
          <w:tab w:val="left" w:pos="1080"/>
          <w:tab w:val="left" w:pos="1440"/>
          <w:tab w:val="left" w:pos="1800"/>
          <w:tab w:val="left" w:pos="2160"/>
        </w:tabs>
        <w:rPr>
          <w:sz w:val="22"/>
        </w:rPr>
      </w:pPr>
      <w:r>
        <w:rPr>
          <w:sz w:val="22"/>
        </w:rPr>
        <w:t>NOTES:</w:t>
      </w:r>
    </w:p>
    <w:p w:rsidR="00000000" w:rsidRDefault="00C40079">
      <w:pPr>
        <w:pStyle w:val="Level2"/>
        <w:numPr>
          <w:ilvl w:val="0"/>
          <w:numId w:val="37"/>
        </w:numPr>
        <w:tabs>
          <w:tab w:val="left" w:pos="720"/>
          <w:tab w:val="left" w:pos="1080"/>
          <w:tab w:val="left" w:pos="1440"/>
          <w:tab w:val="left" w:pos="1800"/>
          <w:tab w:val="left" w:pos="2160"/>
        </w:tabs>
        <w:rPr>
          <w:sz w:val="22"/>
        </w:rPr>
      </w:pPr>
      <w:r>
        <w:rPr>
          <w:sz w:val="22"/>
        </w:rPr>
        <w:t>Direct PM</w:t>
      </w:r>
      <w:r>
        <w:rPr>
          <w:sz w:val="22"/>
          <w:vertAlign w:val="subscript"/>
        </w:rPr>
        <w:t>2.5</w:t>
      </w:r>
      <w:r>
        <w:rPr>
          <w:sz w:val="22"/>
        </w:rPr>
        <w:t xml:space="preserve"> consists of the sum of: SO</w:t>
      </w:r>
      <w:r>
        <w:rPr>
          <w:sz w:val="22"/>
          <w:vertAlign w:val="subscript"/>
        </w:rPr>
        <w:t>4</w:t>
      </w:r>
      <w:r>
        <w:rPr>
          <w:sz w:val="22"/>
        </w:rPr>
        <w:t xml:space="preserve">, Organic Carbon, Elemental Carbon, particulate matter from Gasoline Vehicles, Lead, </w:t>
      </w:r>
      <w:r>
        <w:rPr>
          <w:sz w:val="22"/>
        </w:rPr>
        <w:t xml:space="preserve">Brake particles and Tire particles.  </w:t>
      </w:r>
    </w:p>
    <w:p w:rsidR="00000000" w:rsidRDefault="00C40079">
      <w:pPr>
        <w:pStyle w:val="Level2"/>
        <w:numPr>
          <w:ilvl w:val="0"/>
          <w:numId w:val="37"/>
        </w:numPr>
        <w:tabs>
          <w:tab w:val="left" w:pos="720"/>
          <w:tab w:val="left" w:pos="1080"/>
          <w:tab w:val="left" w:pos="1440"/>
          <w:tab w:val="left" w:pos="1800"/>
          <w:tab w:val="left" w:pos="2160"/>
        </w:tabs>
        <w:rPr>
          <w:sz w:val="22"/>
        </w:rPr>
      </w:pPr>
      <w:r>
        <w:rPr>
          <w:sz w:val="22"/>
        </w:rPr>
        <w:t>For Bergen, Essex, Hudson, Middlesex, Monmouth, Morris, Passaic, Somerset and Union counties.</w:t>
      </w:r>
    </w:p>
    <w:p w:rsidR="00000000" w:rsidRDefault="00C40079">
      <w:pPr>
        <w:pStyle w:val="Level2"/>
        <w:numPr>
          <w:ilvl w:val="0"/>
          <w:numId w:val="37"/>
        </w:numPr>
        <w:tabs>
          <w:tab w:val="left" w:pos="720"/>
          <w:tab w:val="left" w:pos="1080"/>
          <w:tab w:val="left" w:pos="1440"/>
          <w:tab w:val="left" w:pos="1800"/>
          <w:tab w:val="left" w:pos="2160"/>
        </w:tabs>
        <w:rPr>
          <w:sz w:val="22"/>
        </w:rPr>
      </w:pPr>
      <w:r>
        <w:rPr>
          <w:sz w:val="22"/>
        </w:rPr>
        <w:t>For Mercer County.</w:t>
      </w:r>
    </w:p>
    <w:p w:rsidR="00000000" w:rsidRDefault="00C40079">
      <w:pPr>
        <w:pStyle w:val="Level2"/>
        <w:numPr>
          <w:ilvl w:val="0"/>
          <w:numId w:val="38"/>
        </w:numPr>
        <w:tabs>
          <w:tab w:val="left" w:pos="720"/>
          <w:tab w:val="left" w:pos="1080"/>
          <w:tab w:val="left" w:pos="1440"/>
          <w:tab w:val="left" w:pos="1800"/>
          <w:tab w:val="left" w:pos="2160"/>
        </w:tabs>
        <w:ind w:left="720" w:hanging="720"/>
        <w:rPr>
          <w:b/>
        </w:rPr>
      </w:pPr>
      <w:r>
        <w:rPr>
          <w:b/>
        </w:rPr>
        <w:br w:type="page"/>
      </w:r>
      <w:bookmarkStart w:id="142" w:name="CO_LMP"/>
      <w:bookmarkStart w:id="143" w:name="_Hlt126641480"/>
      <w:bookmarkEnd w:id="143"/>
      <w:r>
        <w:rPr>
          <w:b/>
        </w:rPr>
        <w:lastRenderedPageBreak/>
        <w:t>Carbon Monoxide Limited Maintenance Plan for Camden County and the Nine Not-Classified Areas</w:t>
      </w:r>
      <w:bookmarkEnd w:id="142"/>
      <w:r>
        <w:rPr>
          <w:b/>
        </w:rPr>
        <w:t xml:space="preserve"> </w:t>
      </w:r>
      <w:r>
        <w:rPr>
          <w:b/>
        </w:rPr>
        <w:tab/>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In 1995,</w:t>
      </w:r>
      <w:r>
        <w:t xml:space="preserve"> the State demonstrated</w:t>
      </w:r>
      <w:r>
        <w:rPr>
          <w:rStyle w:val="FootnoteReference"/>
          <w:vertAlign w:val="superscript"/>
        </w:rPr>
        <w:footnoteReference w:id="42"/>
      </w:r>
      <w:r>
        <w:t xml:space="preserve"> to the USEPA that Camden County and the nine not-classified areas were in attainment of the carbon monoxide health standard by submitting an Attainment Demonstration and Maintenance Plan.  The USEPA subsequently approved the State’</w:t>
      </w:r>
      <w:r>
        <w:t>s Plan. This SIP revision proposes the second ten (10) year maintenance plan for these areas.</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Attainment and maintenance of the carbon monoxide health standard represents a significant health benefit to the citizens of New Jersey.  Carbon monoxide has sig</w:t>
      </w:r>
      <w:r>
        <w:t>nificant health effects when present in levels above the standard.  An odorless, colorless gas, carbon monoxide is readily absorbed by the body through the lungs and can reduce the amount of oxygen that reaches the heart, brain, and other tissues.  Exposur</w:t>
      </w:r>
      <w:r>
        <w:t>e to elevated carbon monoxide levels has been linked to adverse health effects and can be especially harmful to children, people with heart disease, and pregnant women.  At moderate levels, carbon monoxide exposure has been linked to symptoms such as dizzi</w:t>
      </w:r>
      <w:r>
        <w:t>ness, nausea, fatigue, poor vision and concentration, headaches, and heart pains.  Exposure to high levels of carbon monoxide may result in unconsciousness and death.</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This SIP revision proposes a consolidated Maintenance Plan for ten of New Jersey’s eleve</w:t>
      </w:r>
      <w:r>
        <w:t>n existing carbon monoxide maintenance areas that demonstrates continued compliance with the carbon monoxide health-based standard, describes how the State will continue to maintain the carbon monoxide NAAQS until the year 2017 in those areas, and provides</w:t>
      </w:r>
      <w:r>
        <w:t xml:space="preserve"> a contingency plan that would be implemented should the State ever again violate the carbon monoxide NAAQS in those areas. The history of New Jersey’s previous Carbon Monoxide SIP revisions is included as Appendix A.</w:t>
      </w: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39"/>
        </w:numPr>
        <w:tabs>
          <w:tab w:val="clear" w:pos="360"/>
          <w:tab w:val="left" w:pos="720"/>
          <w:tab w:val="left" w:pos="1080"/>
          <w:tab w:val="left" w:pos="1440"/>
          <w:tab w:val="left" w:pos="1800"/>
          <w:tab w:val="left" w:pos="2160"/>
        </w:tabs>
        <w:ind w:left="1440" w:hanging="720"/>
        <w:rPr>
          <w:b/>
        </w:rPr>
      </w:pPr>
      <w:bookmarkStart w:id="144" w:name="Background3"/>
      <w:bookmarkStart w:id="145" w:name="_Hlt126641485"/>
      <w:bookmarkEnd w:id="145"/>
      <w:r>
        <w:rPr>
          <w:b/>
        </w:rPr>
        <w:t>Background</w:t>
      </w:r>
      <w:bookmarkEnd w:id="144"/>
      <w:r>
        <w:rPr>
          <w:b/>
        </w:rPr>
        <w:tab/>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Clean Air Act, 42 U.</w:t>
      </w:r>
      <w:r>
        <w:t>S.C. §7401 et seq. requires all areas of the nation to attain and maintain compliance with the NAAQS.  These NAAQS are designed to protect public health and welfare from specific pollutants.  For carbon monoxide, there are two primary NAAQS: an average 1-h</w:t>
      </w:r>
      <w:r>
        <w:t xml:space="preserve">our standard of 35 parts per million and a non-overlapping average 8-hour standard of 9 parts per million.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Carbon monoxide concentrations in New Jersey have not exceeded the 1-hour standard since the late 1970s.  Typical 1-hour maximum concentrations in</w:t>
      </w:r>
      <w:r>
        <w:t xml:space="preserve"> New Jersey in recent years have been less than 7 parts per million, well below the 35 parts per million level.  The last exceedance of the 8-hour carbon monoxide NAAQS was in 1995.  Typical 8-hour carbon monoxide levels are less than five parts per millio</w:t>
      </w:r>
      <w:r>
        <w:t xml:space="preserve">n. New Jersey’s noncompliance with the 8-hour carbon monoxide NAAQS prior to 1996 was due primarily to highway sources and was limited to specific areas during stagnating meteorological conditions.  A monitoring site is in violation of the 8-hour </w:t>
      </w:r>
      <w:r>
        <w:lastRenderedPageBreak/>
        <w:t xml:space="preserve">standard </w:t>
      </w:r>
      <w:r>
        <w:t xml:space="preserve">if it experiences two or more exceedances of the 9 parts per million standard within any calendar year.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Based on prior violations of the 8-hour carbon monoxide standard, New Jersey had eleven nonattainment areas, all of which have since been redesignate</w:t>
      </w:r>
      <w:r>
        <w:t xml:space="preserve">d to attainment and are currently considered maintenance areas.  New Jersey’s three 8-hour carbon monoxide maintenance plans cover the following areas of the State: </w:t>
      </w: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57"/>
        </w:numPr>
        <w:tabs>
          <w:tab w:val="clear" w:pos="360"/>
          <w:tab w:val="left" w:pos="720"/>
          <w:tab w:val="left" w:pos="1080"/>
          <w:tab w:val="left" w:pos="1440"/>
          <w:tab w:val="left" w:pos="1800"/>
          <w:tab w:val="left" w:pos="2160"/>
        </w:tabs>
        <w:ind w:left="720"/>
      </w:pPr>
      <w:r>
        <w:t xml:space="preserve">Camden County – All of Camden County </w:t>
      </w:r>
    </w:p>
    <w:p w:rsidR="00000000" w:rsidRDefault="00C40079">
      <w:pPr>
        <w:pStyle w:val="Level2"/>
        <w:tabs>
          <w:tab w:val="left" w:pos="720"/>
          <w:tab w:val="left" w:pos="1080"/>
          <w:tab w:val="left" w:pos="1440"/>
          <w:tab w:val="left" w:pos="1800"/>
          <w:tab w:val="left" w:pos="2160"/>
        </w:tabs>
        <w:ind w:left="360"/>
      </w:pPr>
    </w:p>
    <w:p w:rsidR="00000000" w:rsidRDefault="00C40079">
      <w:pPr>
        <w:pStyle w:val="Level2"/>
        <w:numPr>
          <w:ilvl w:val="0"/>
          <w:numId w:val="57"/>
        </w:numPr>
        <w:tabs>
          <w:tab w:val="clear" w:pos="360"/>
          <w:tab w:val="left" w:pos="720"/>
          <w:tab w:val="left" w:pos="1080"/>
          <w:tab w:val="left" w:pos="1440"/>
          <w:tab w:val="left" w:pos="1800"/>
          <w:tab w:val="left" w:pos="2160"/>
        </w:tabs>
        <w:ind w:left="720"/>
      </w:pPr>
      <w:r>
        <w:t>Nine Not-Classified Areas - the City of Atlantic C</w:t>
      </w:r>
      <w:r>
        <w:t>ity (in Atlantic County), the City of Burlington (in Burlington County), the Borough of Freehold (in Monmouth County), the Town of Morristown (in Morris County), the Borough of Penns Grove (in Salem County), the City of Perth Amboy (in Middlesex County), t</w:t>
      </w:r>
      <w:r>
        <w:t xml:space="preserve">he Borough of Somerville (in Somerset County), the Toms River Area (in Ocean County), and the City of Trenton (in Mercer County) </w:t>
      </w: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57"/>
        </w:numPr>
        <w:tabs>
          <w:tab w:val="clear" w:pos="360"/>
          <w:tab w:val="left" w:pos="720"/>
          <w:tab w:val="left" w:pos="1080"/>
          <w:tab w:val="left" w:pos="1440"/>
          <w:tab w:val="left" w:pos="1800"/>
          <w:tab w:val="left" w:pos="2160"/>
        </w:tabs>
        <w:ind w:left="720"/>
      </w:pPr>
      <w:r>
        <w:t>Northeastern New Jersey - Hudson, Essex, Bergen and Union Counties, and the municipalities of Clifton, Passaic and Paterson i</w:t>
      </w:r>
      <w:r>
        <w:t>n Passaic County. This area is part of the New York City/Northern New Jersey/Long Island carbon monoxide maintenance area.</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New Jersey’s 8-hour carbon monoxide maintenance areas are shown in Figure IV.</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Camden County area's classification as a moderate</w:t>
      </w:r>
      <w:r>
        <w:t xml:space="preserve"> nonattainment area reflected its 1989 design value of 9.7 parts per million.  The 1994 8-hour average design value for Camden County was 6.9 parts per million, well below the standard of 9 parts per million.  No violation of the 8-hour average carbon mono</w:t>
      </w:r>
      <w:r>
        <w:t>xide standard has occurred in any of the nine not-classified areas since 1986.  The Camden County area and the Nine Not-Classified areas were redesignated by the USEPA as attainment areas in 1996.</w:t>
      </w:r>
      <w:r>
        <w:rPr>
          <w:rStyle w:val="FootnoteReference"/>
          <w:rFonts w:ascii="Times New (W1)" w:hAnsi="Times New (W1)"/>
          <w:vertAlign w:val="superscript"/>
        </w:rPr>
        <w:footnoteReference w:id="43"/>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New Jersey’s first ten-year maintenance plans</w:t>
      </w:r>
      <w:r>
        <w:rPr>
          <w:rStyle w:val="FootnoteReference"/>
          <w:rFonts w:ascii="Times New (W1)" w:hAnsi="Times New (W1)"/>
          <w:vertAlign w:val="superscript"/>
        </w:rPr>
        <w:footnoteReference w:id="44"/>
      </w:r>
      <w:r>
        <w:t xml:space="preserve"> (which inc</w:t>
      </w:r>
      <w:r>
        <w:t>luded contingency measures) for the Camden County area and the Nine Not-Classified areas covered a 12-year period (1995–2007).</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New Jersey’s eleventh carbon monoxide nonattainment area was redesignated by the USEPA as an attainment area in 2002.  New Jerse</w:t>
      </w:r>
      <w:r>
        <w:t xml:space="preserve">y’s attainment demonstration submittal of August 7, 1998, for the Northern area showed that 8-hour average concentrations of carbon monoxide at New Jersey’s monitoring sites in the Northern New Jersey carbon monoxide nonattainment area fell </w:t>
      </w:r>
      <w:r>
        <w:lastRenderedPageBreak/>
        <w:t>below the stand</w:t>
      </w:r>
      <w:r>
        <w:t>ard beginning in 1996.</w:t>
      </w:r>
      <w:r>
        <w:rPr>
          <w:rStyle w:val="FootnoteReference"/>
          <w:sz w:val="20"/>
          <w:vertAlign w:val="superscript"/>
        </w:rPr>
        <w:footnoteReference w:id="45"/>
      </w:r>
      <w:r>
        <w:t xml:space="preserve">  The first ten-year maintenance plan and contingency measures for this area covered the 12-year period, 2002-2014.</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This consolidated Limited Maintenance Plan covers the second follow-on ten-year maintenance plans for the Camden Cou</w:t>
      </w:r>
      <w:r>
        <w:t>nty and Nine Not-Classified Carbon Monoxide Maintenance Areas.  The Northern New Jersey Carbon Monoxide Maintenance Area is not addressed in this Limited Maintenance Plan.  A second ten-year maintenance plan that will cover the years 2015-2024 for the nort</w:t>
      </w:r>
      <w:r>
        <w:t xml:space="preserve">heastern New Jersey Carbon Monoxide Maintenance Area is expected to be proposed in 2012.  Elsewhere in this proposed SIP revision, the carbon monoxide budgets for the northern New Jersey Carbon Monoxide Maintenance Area are being updated.  </w:t>
      </w: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39"/>
        </w:numPr>
        <w:tabs>
          <w:tab w:val="clear" w:pos="360"/>
          <w:tab w:val="left" w:pos="720"/>
          <w:tab w:val="left" w:pos="1080"/>
          <w:tab w:val="left" w:pos="1440"/>
          <w:tab w:val="left" w:pos="1800"/>
          <w:tab w:val="left" w:pos="2160"/>
        </w:tabs>
        <w:ind w:left="1440" w:hanging="720"/>
        <w:rPr>
          <w:b/>
        </w:rPr>
      </w:pPr>
      <w:bookmarkStart w:id="146" w:name="Air_Qual_Update"/>
      <w:bookmarkStart w:id="147" w:name="_Hlt126641489"/>
      <w:bookmarkEnd w:id="147"/>
      <w:r>
        <w:rPr>
          <w:b/>
        </w:rPr>
        <w:t>Air Quality Up</w:t>
      </w:r>
      <w:r>
        <w:rPr>
          <w:b/>
        </w:rPr>
        <w:t>date</w:t>
      </w:r>
      <w:bookmarkEnd w:id="146"/>
      <w:r>
        <w:rPr>
          <w:b/>
        </w:rPr>
        <w:tab/>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Carbon monoxide levels have improved dramatically in New Jersey over the past thirty years and are currently about one-half that of the standard, Figure II.  The last time the carbon monoxide 8-hour NAAQS was exceeded in New Jersey was in January of</w:t>
      </w:r>
      <w:r>
        <w:t xml:space="preserve"> 1995.  Figure II shows the second highest 8-hour value recorded throughout the monitoring network during each year.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 xml:space="preserve">A design value is based on monitored readings used by the USEPA to determine an area's air quality status.  New Jersey’s carbon monoxide </w:t>
      </w:r>
      <w:r>
        <w:t>design values for the years 2002-2003 (see Table XIII) are all well below 7.65 parts per million, an eligibility requirement to qualify for a Limited Maintenance Plan.</w:t>
      </w:r>
      <w:r>
        <w:rPr>
          <w:rStyle w:val="FootnoteReference"/>
          <w:sz w:val="20"/>
          <w:vertAlign w:val="superscript"/>
        </w:rPr>
        <w:footnoteReference w:id="46"/>
      </w:r>
      <w:r>
        <w:t xml:space="preserve">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jc w:val="center"/>
        <w:rPr>
          <w:b/>
          <w:sz w:val="28"/>
        </w:rPr>
      </w:pPr>
      <w:bookmarkStart w:id="148" w:name="Figure_IV"/>
      <w:bookmarkStart w:id="149" w:name="_Hlt126642162"/>
      <w:bookmarkEnd w:id="149"/>
      <w:r>
        <w:rPr>
          <w:b/>
          <w:noProof/>
          <w:sz w:val="28"/>
        </w:rPr>
        <w:lastRenderedPageBreak/>
        <w:object w:dxaOrig="0" w:dyaOrig="0">
          <v:group id="_x0000_s1063" style="position:absolute;left:0;text-align:left;margin-left:-9pt;margin-top:18pt;width:516.55pt;height:579.75pt;z-index:-17" coordorigin="1107,864" coordsize="10331,11595" wrapcoords="-31 0 -31 21572 21600 21572 21600 0 -31 0" o:allowincell="f">
            <v:shape id="_x0000_s1064" type="#_x0000_t75" style="position:absolute;left:1107;top:864;width:10331;height:11595">
              <v:imagedata r:id="rId40" o:title=""/>
            </v:shape>
            <v:shapetype id="_x0000_t202" coordsize="21600,21600" o:spt="202" path="m,l,21600r21600,l21600,xe">
              <v:stroke joinstyle="miter"/>
              <v:path gradientshapeok="t" o:connecttype="rect"/>
            </v:shapetype>
            <v:shape id="_x0000_s1065" type="#_x0000_t202" style="position:absolute;left:2448;top:1433;width:7776;height:455" filled="f" stroked="f">
              <o:lock v:ext="edit" aspectratio="t"/>
              <v:textbox style="mso-next-textbox:#_x0000_s1065">
                <w:txbxContent>
                  <w:p w:rsidR="00000000" w:rsidRDefault="00C40079">
                    <w:pPr>
                      <w:pStyle w:val="Heading7"/>
                      <w:numPr>
                        <w:ilvl w:val="0"/>
                        <w:numId w:val="0"/>
                      </w:numPr>
                      <w:ind w:left="720"/>
                      <w:rPr>
                        <w:b/>
                      </w:rPr>
                    </w:pPr>
                    <w:r>
                      <w:rPr>
                        <w:b/>
                      </w:rPr>
                      <w:t xml:space="preserve">    New Jersey Carbon Monoxide Maintenance Areas</w:t>
                    </w:r>
                  </w:p>
                </w:txbxContent>
              </v:textbox>
            </v:shape>
            <w10:wrap type="tight"/>
          </v:group>
          <o:OLEObject Type="Embed" ProgID="MSPhotoEd.3" ShapeID="_x0000_s1064" DrawAspect="Content" ObjectID="_1667111060" r:id="rId41"/>
        </w:object>
      </w:r>
      <w:r>
        <w:rPr>
          <w:b/>
          <w:noProof/>
          <w:sz w:val="28"/>
        </w:rPr>
        <w:pict>
          <v:shape id="_x0000_s1073" type="#_x0000_t202" style="position:absolute;left:0;text-align:left;margin-left:324pt;margin-top:297pt;width:135pt;height:2in;z-index:5;mso-position-horizontal:absolute;mso-position-horizontal-relative:text;mso-position-vertical:absolute;mso-position-vertical-relative:text" o:allowincell="f" filled="f" stroked="f">
            <v:textbox style="mso-next-textbox:#_x0000_s1073">
              <w:txbxContent>
                <w:p w:rsidR="00000000" w:rsidRDefault="00C40079">
                  <w:pPr>
                    <w:pStyle w:val="Level2"/>
                    <w:tabs>
                      <w:tab w:val="left" w:pos="180"/>
                      <w:tab w:val="left" w:pos="720"/>
                      <w:tab w:val="left" w:pos="1080"/>
                      <w:tab w:val="left" w:pos="1440"/>
                      <w:tab w:val="left" w:pos="1800"/>
                      <w:tab w:val="left" w:pos="2160"/>
                    </w:tabs>
                    <w:rPr>
                      <w:rFonts w:ascii="Times New (W1)" w:hAnsi="Times New (W1)"/>
                      <w:b/>
                      <w:sz w:val="20"/>
                      <w:u w:val="single"/>
                    </w:rPr>
                  </w:pPr>
                  <w:r>
                    <w:rPr>
                      <w:rFonts w:ascii="Times New (W1)" w:hAnsi="Times New (W1)"/>
                      <w:b/>
                      <w:sz w:val="20"/>
                      <w:u w:val="single"/>
                    </w:rPr>
                    <w:t>Nine Not-Classified Areas</w:t>
                  </w:r>
                </w:p>
                <w:p w:rsidR="00000000" w:rsidRDefault="00C40079">
                  <w:pPr>
                    <w:pStyle w:val="Level2"/>
                    <w:numPr>
                      <w:ilvl w:val="0"/>
                      <w:numId w:val="63"/>
                    </w:numPr>
                    <w:tabs>
                      <w:tab w:val="clear" w:pos="720"/>
                      <w:tab w:val="left" w:pos="180"/>
                      <w:tab w:val="left" w:pos="1080"/>
                      <w:tab w:val="left" w:pos="1440"/>
                      <w:tab w:val="left" w:pos="1800"/>
                      <w:tab w:val="left" w:pos="2160"/>
                    </w:tabs>
                    <w:ind w:left="180" w:hanging="180"/>
                    <w:rPr>
                      <w:sz w:val="20"/>
                    </w:rPr>
                  </w:pPr>
                  <w:r>
                    <w:rPr>
                      <w:rFonts w:ascii="Times New (W1)" w:hAnsi="Times New (W1)"/>
                      <w:sz w:val="20"/>
                    </w:rPr>
                    <w:t>Atlantic City</w:t>
                  </w:r>
                </w:p>
                <w:p w:rsidR="00000000" w:rsidRDefault="00C40079">
                  <w:pPr>
                    <w:pStyle w:val="Level2"/>
                    <w:numPr>
                      <w:ilvl w:val="0"/>
                      <w:numId w:val="63"/>
                    </w:numPr>
                    <w:tabs>
                      <w:tab w:val="clear" w:pos="720"/>
                      <w:tab w:val="left" w:pos="180"/>
                      <w:tab w:val="left" w:pos="1080"/>
                      <w:tab w:val="left" w:pos="1440"/>
                      <w:tab w:val="left" w:pos="1800"/>
                      <w:tab w:val="left" w:pos="2160"/>
                    </w:tabs>
                    <w:ind w:left="180" w:hanging="180"/>
                    <w:rPr>
                      <w:sz w:val="20"/>
                    </w:rPr>
                  </w:pPr>
                  <w:r>
                    <w:rPr>
                      <w:sz w:val="20"/>
                    </w:rPr>
                    <w:t>Burlington City</w:t>
                  </w:r>
                </w:p>
                <w:p w:rsidR="00000000" w:rsidRDefault="00C40079">
                  <w:pPr>
                    <w:pStyle w:val="Level2"/>
                    <w:numPr>
                      <w:ilvl w:val="0"/>
                      <w:numId w:val="63"/>
                    </w:numPr>
                    <w:tabs>
                      <w:tab w:val="clear" w:pos="720"/>
                      <w:tab w:val="left" w:pos="180"/>
                      <w:tab w:val="left" w:pos="1080"/>
                      <w:tab w:val="left" w:pos="1440"/>
                      <w:tab w:val="left" w:pos="1800"/>
                      <w:tab w:val="left" w:pos="2160"/>
                    </w:tabs>
                    <w:ind w:left="180" w:hanging="180"/>
                    <w:rPr>
                      <w:sz w:val="20"/>
                    </w:rPr>
                  </w:pPr>
                  <w:r>
                    <w:rPr>
                      <w:sz w:val="20"/>
                    </w:rPr>
                    <w:t>Freehold Boro</w:t>
                  </w:r>
                </w:p>
                <w:p w:rsidR="00000000" w:rsidRDefault="00C40079">
                  <w:pPr>
                    <w:pStyle w:val="Level2"/>
                    <w:numPr>
                      <w:ilvl w:val="0"/>
                      <w:numId w:val="63"/>
                    </w:numPr>
                    <w:tabs>
                      <w:tab w:val="clear" w:pos="720"/>
                      <w:tab w:val="left" w:pos="180"/>
                      <w:tab w:val="left" w:pos="1080"/>
                      <w:tab w:val="left" w:pos="1440"/>
                      <w:tab w:val="left" w:pos="1800"/>
                      <w:tab w:val="left" w:pos="2160"/>
                    </w:tabs>
                    <w:ind w:left="180" w:hanging="180"/>
                    <w:rPr>
                      <w:sz w:val="20"/>
                    </w:rPr>
                  </w:pPr>
                  <w:r>
                    <w:rPr>
                      <w:sz w:val="20"/>
                    </w:rPr>
                    <w:t>Morristown</w:t>
                  </w:r>
                </w:p>
                <w:p w:rsidR="00000000" w:rsidRDefault="00C40079">
                  <w:pPr>
                    <w:pStyle w:val="Level2"/>
                    <w:numPr>
                      <w:ilvl w:val="0"/>
                      <w:numId w:val="63"/>
                    </w:numPr>
                    <w:tabs>
                      <w:tab w:val="clear" w:pos="720"/>
                      <w:tab w:val="left" w:pos="180"/>
                      <w:tab w:val="left" w:pos="1080"/>
                      <w:tab w:val="left" w:pos="1440"/>
                      <w:tab w:val="left" w:pos="1800"/>
                      <w:tab w:val="left" w:pos="2160"/>
                    </w:tabs>
                    <w:ind w:left="180" w:hanging="180"/>
                    <w:rPr>
                      <w:sz w:val="20"/>
                    </w:rPr>
                  </w:pPr>
                  <w:r>
                    <w:rPr>
                      <w:sz w:val="20"/>
                    </w:rPr>
                    <w:t>Penns Grove</w:t>
                  </w:r>
                </w:p>
                <w:p w:rsidR="00000000" w:rsidRDefault="00C40079">
                  <w:pPr>
                    <w:pStyle w:val="Level2"/>
                    <w:numPr>
                      <w:ilvl w:val="0"/>
                      <w:numId w:val="63"/>
                    </w:numPr>
                    <w:tabs>
                      <w:tab w:val="clear" w:pos="720"/>
                      <w:tab w:val="left" w:pos="180"/>
                      <w:tab w:val="left" w:pos="1080"/>
                      <w:tab w:val="left" w:pos="1440"/>
                      <w:tab w:val="left" w:pos="1800"/>
                      <w:tab w:val="left" w:pos="2160"/>
                    </w:tabs>
                    <w:ind w:left="180" w:hanging="180"/>
                    <w:rPr>
                      <w:sz w:val="20"/>
                    </w:rPr>
                  </w:pPr>
                  <w:r>
                    <w:rPr>
                      <w:sz w:val="20"/>
                    </w:rPr>
                    <w:t>P</w:t>
                  </w:r>
                  <w:r>
                    <w:rPr>
                      <w:sz w:val="20"/>
                    </w:rPr>
                    <w:t>erth Amboy</w:t>
                  </w:r>
                </w:p>
                <w:p w:rsidR="00000000" w:rsidRDefault="00C40079">
                  <w:pPr>
                    <w:pStyle w:val="Level2"/>
                    <w:numPr>
                      <w:ilvl w:val="0"/>
                      <w:numId w:val="63"/>
                    </w:numPr>
                    <w:tabs>
                      <w:tab w:val="clear" w:pos="720"/>
                      <w:tab w:val="left" w:pos="180"/>
                      <w:tab w:val="left" w:pos="1080"/>
                      <w:tab w:val="left" w:pos="1440"/>
                      <w:tab w:val="left" w:pos="1800"/>
                      <w:tab w:val="left" w:pos="2160"/>
                    </w:tabs>
                    <w:ind w:left="180" w:hanging="180"/>
                    <w:rPr>
                      <w:rFonts w:ascii="Times New (W1)" w:hAnsi="Times New (W1)"/>
                      <w:sz w:val="20"/>
                    </w:rPr>
                  </w:pPr>
                  <w:r>
                    <w:rPr>
                      <w:rFonts w:ascii="Times New (W1)" w:hAnsi="Times New (W1)"/>
                      <w:sz w:val="20"/>
                    </w:rPr>
                    <w:t xml:space="preserve">Somerville (in </w:t>
                  </w:r>
                </w:p>
                <w:p w:rsidR="00000000" w:rsidRDefault="00C40079">
                  <w:pPr>
                    <w:pStyle w:val="Level2"/>
                    <w:numPr>
                      <w:ilvl w:val="0"/>
                      <w:numId w:val="63"/>
                    </w:numPr>
                    <w:tabs>
                      <w:tab w:val="clear" w:pos="720"/>
                      <w:tab w:val="left" w:pos="180"/>
                      <w:tab w:val="left" w:pos="1080"/>
                      <w:tab w:val="left" w:pos="1440"/>
                      <w:tab w:val="left" w:pos="1800"/>
                      <w:tab w:val="left" w:pos="2160"/>
                    </w:tabs>
                    <w:ind w:left="180" w:hanging="180"/>
                    <w:rPr>
                      <w:sz w:val="20"/>
                    </w:rPr>
                  </w:pPr>
                  <w:r>
                    <w:rPr>
                      <w:rFonts w:ascii="Times New (W1)" w:hAnsi="Times New (W1)"/>
                      <w:sz w:val="20"/>
                    </w:rPr>
                    <w:t>Toms River</w:t>
                  </w:r>
                  <w:r>
                    <w:rPr>
                      <w:sz w:val="20"/>
                    </w:rPr>
                    <w:t xml:space="preserve"> Area</w:t>
                  </w:r>
                </w:p>
                <w:p w:rsidR="00000000" w:rsidRDefault="00C40079">
                  <w:pPr>
                    <w:pStyle w:val="Level2"/>
                    <w:numPr>
                      <w:ilvl w:val="0"/>
                      <w:numId w:val="63"/>
                    </w:numPr>
                    <w:tabs>
                      <w:tab w:val="clear" w:pos="720"/>
                      <w:tab w:val="left" w:pos="180"/>
                      <w:tab w:val="left" w:pos="1080"/>
                      <w:tab w:val="left" w:pos="1440"/>
                      <w:tab w:val="left" w:pos="1800"/>
                      <w:tab w:val="left" w:pos="2160"/>
                    </w:tabs>
                    <w:ind w:left="180" w:hanging="180"/>
                    <w:rPr>
                      <w:sz w:val="20"/>
                    </w:rPr>
                  </w:pPr>
                  <w:r>
                    <w:rPr>
                      <w:sz w:val="20"/>
                    </w:rPr>
                    <w:t xml:space="preserve">Trenton </w:t>
                  </w:r>
                </w:p>
                <w:p w:rsidR="00000000" w:rsidRDefault="00C40079">
                  <w:pPr>
                    <w:rPr>
                      <w:rFonts w:ascii="Times New (W1)" w:hAnsi="Times New (W1)"/>
                      <w:sz w:val="18"/>
                    </w:rPr>
                  </w:pPr>
                </w:p>
              </w:txbxContent>
            </v:textbox>
          </v:shape>
        </w:pict>
      </w:r>
      <w:r>
        <w:rPr>
          <w:b/>
          <w:noProof/>
          <w:sz w:val="28"/>
        </w:rPr>
        <w:pict>
          <v:rect id="_x0000_s1072" style="position:absolute;left:0;text-align:left;margin-left:369pt;margin-top:162pt;width:90pt;height:207pt;z-index:4;mso-position-horizontal:absolute;mso-position-horizontal-relative:text;mso-position-vertical:absolute;mso-position-vertical-relative:text" o:allowincell="f" filled="f" stroked="f"/>
        </w:pict>
      </w:r>
      <w:r>
        <w:rPr>
          <w:b/>
          <w:sz w:val="28"/>
        </w:rPr>
        <w:t>Figure IV</w:t>
      </w:r>
      <w:bookmarkEnd w:id="148"/>
    </w:p>
    <w:p w:rsidR="00000000" w:rsidRDefault="00C40079">
      <w:pPr>
        <w:pStyle w:val="Level2"/>
        <w:tabs>
          <w:tab w:val="left" w:pos="720"/>
          <w:tab w:val="left" w:pos="1080"/>
          <w:tab w:val="left" w:pos="1440"/>
          <w:tab w:val="left" w:pos="1800"/>
          <w:tab w:val="left" w:pos="2160"/>
        </w:tabs>
        <w:ind w:left="720"/>
        <w:rPr>
          <w:b/>
        </w:rPr>
      </w:pPr>
    </w:p>
    <w:p w:rsidR="00000000" w:rsidRDefault="00C40079">
      <w:pPr>
        <w:pStyle w:val="Level2"/>
        <w:tabs>
          <w:tab w:val="left" w:pos="720"/>
          <w:tab w:val="left" w:pos="1080"/>
          <w:tab w:val="left" w:pos="1440"/>
          <w:tab w:val="left" w:pos="1800"/>
          <w:tab w:val="left" w:pos="2160"/>
        </w:tabs>
        <w:ind w:left="720"/>
        <w:rPr>
          <w:b/>
        </w:rPr>
      </w:pP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jc w:val="center"/>
        <w:rPr>
          <w:b/>
        </w:rPr>
      </w:pPr>
      <w:bookmarkStart w:id="150" w:name="Table_XIII"/>
      <w:bookmarkStart w:id="151" w:name="_Hlt126641928"/>
      <w:bookmarkEnd w:id="151"/>
      <w:r>
        <w:rPr>
          <w:b/>
        </w:rPr>
        <w:t>Table XI</w:t>
      </w:r>
      <w:bookmarkEnd w:id="150"/>
      <w:r>
        <w:rPr>
          <w:b/>
        </w:rPr>
        <w:t>II</w:t>
      </w:r>
    </w:p>
    <w:p w:rsidR="00000000" w:rsidRDefault="00C40079">
      <w:pPr>
        <w:pStyle w:val="Level2"/>
        <w:tabs>
          <w:tab w:val="left" w:pos="720"/>
          <w:tab w:val="left" w:pos="1080"/>
          <w:tab w:val="left" w:pos="1440"/>
          <w:tab w:val="left" w:pos="1800"/>
          <w:tab w:val="left" w:pos="2160"/>
        </w:tabs>
        <w:jc w:val="center"/>
        <w:rPr>
          <w:b/>
        </w:rPr>
      </w:pPr>
      <w:r>
        <w:rPr>
          <w:b/>
        </w:rPr>
        <w:t xml:space="preserve">Design Values for Carbon Monoxide in New Jersey </w:t>
      </w:r>
    </w:p>
    <w:p w:rsidR="00000000" w:rsidRDefault="00C40079">
      <w:pPr>
        <w:pStyle w:val="Level2"/>
        <w:tabs>
          <w:tab w:val="left" w:pos="720"/>
          <w:tab w:val="left" w:pos="1080"/>
          <w:tab w:val="left" w:pos="1440"/>
          <w:tab w:val="left" w:pos="1800"/>
          <w:tab w:val="left" w:pos="2160"/>
        </w:tabs>
        <w:jc w:val="center"/>
        <w:rPr>
          <w:b/>
        </w:rPr>
      </w:pPr>
      <w:r>
        <w:rPr>
          <w:b/>
        </w:rPr>
        <w:t>(8-hour s</w:t>
      </w:r>
      <w:r>
        <w:rPr>
          <w:b/>
        </w:rPr>
        <w:t>tandard - 9 parts per million)</w:t>
      </w:r>
    </w:p>
    <w:p w:rsidR="00000000" w:rsidRDefault="00C40079">
      <w:pPr>
        <w:pStyle w:val="Level2"/>
        <w:tabs>
          <w:tab w:val="left" w:pos="720"/>
          <w:tab w:val="left" w:pos="1080"/>
          <w:tab w:val="left" w:pos="1440"/>
          <w:tab w:val="left" w:pos="1800"/>
          <w:tab w:val="left" w:pos="2160"/>
        </w:tabs>
      </w:pP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3240"/>
        <w:gridCol w:w="3444"/>
      </w:tblGrid>
      <w:tr w:rsidR="00000000">
        <w:tblPrEx>
          <w:tblCellMar>
            <w:top w:w="0" w:type="dxa"/>
            <w:bottom w:w="0" w:type="dxa"/>
          </w:tblCellMar>
        </w:tblPrEx>
        <w:trPr>
          <w:tblHeader/>
          <w:jc w:val="center"/>
        </w:trPr>
        <w:tc>
          <w:tcPr>
            <w:tcW w:w="3240" w:type="dxa"/>
            <w:tcBorders>
              <w:top w:val="single" w:sz="12" w:space="0" w:color="auto"/>
              <w:bottom w:val="single" w:sz="12" w:space="0" w:color="auto"/>
            </w:tcBorders>
            <w:shd w:val="pct10" w:color="auto" w:fill="auto"/>
          </w:tcPr>
          <w:p w:rsidR="00000000" w:rsidRDefault="00C40079">
            <w:pPr>
              <w:tabs>
                <w:tab w:val="left" w:pos="720"/>
                <w:tab w:val="left" w:pos="1080"/>
                <w:tab w:val="left" w:pos="1440"/>
                <w:tab w:val="left" w:pos="1800"/>
                <w:tab w:val="left" w:pos="2160"/>
              </w:tabs>
              <w:jc w:val="center"/>
              <w:rPr>
                <w:b/>
                <w:sz w:val="24"/>
              </w:rPr>
            </w:pPr>
            <w:r>
              <w:rPr>
                <w:b/>
                <w:sz w:val="24"/>
              </w:rPr>
              <w:t>Monitoring Location</w:t>
            </w:r>
          </w:p>
        </w:tc>
        <w:tc>
          <w:tcPr>
            <w:tcW w:w="3444" w:type="dxa"/>
            <w:tcBorders>
              <w:top w:val="single" w:sz="12" w:space="0" w:color="auto"/>
              <w:bottom w:val="single" w:sz="12" w:space="0" w:color="auto"/>
            </w:tcBorders>
            <w:shd w:val="pct10" w:color="auto" w:fill="auto"/>
          </w:tcPr>
          <w:p w:rsidR="00000000" w:rsidRDefault="00C40079">
            <w:pPr>
              <w:tabs>
                <w:tab w:val="left" w:pos="720"/>
                <w:tab w:val="left" w:pos="1080"/>
                <w:tab w:val="left" w:pos="1440"/>
                <w:tab w:val="left" w:pos="1800"/>
                <w:tab w:val="left" w:pos="2160"/>
              </w:tabs>
              <w:jc w:val="center"/>
              <w:rPr>
                <w:b/>
                <w:sz w:val="24"/>
              </w:rPr>
            </w:pPr>
            <w:r>
              <w:rPr>
                <w:b/>
                <w:sz w:val="24"/>
              </w:rPr>
              <w:t xml:space="preserve">2002-2003 Design Value </w:t>
            </w:r>
          </w:p>
          <w:p w:rsidR="00000000" w:rsidRDefault="00C40079">
            <w:pPr>
              <w:tabs>
                <w:tab w:val="left" w:pos="720"/>
                <w:tab w:val="left" w:pos="1080"/>
                <w:tab w:val="left" w:pos="1440"/>
                <w:tab w:val="left" w:pos="1800"/>
                <w:tab w:val="left" w:pos="2160"/>
              </w:tabs>
              <w:jc w:val="center"/>
              <w:rPr>
                <w:b/>
                <w:sz w:val="24"/>
              </w:rPr>
            </w:pPr>
            <w:r>
              <w:rPr>
                <w:b/>
                <w:sz w:val="24"/>
              </w:rPr>
              <w:t>(</w:t>
            </w:r>
            <w:r>
              <w:t>parts per million</w:t>
            </w:r>
            <w:r>
              <w:rPr>
                <w:b/>
                <w:sz w:val="24"/>
              </w:rPr>
              <w:t>)</w:t>
            </w:r>
          </w:p>
        </w:tc>
      </w:tr>
      <w:tr w:rsidR="00000000">
        <w:tblPrEx>
          <w:tblCellMar>
            <w:top w:w="0" w:type="dxa"/>
            <w:bottom w:w="0" w:type="dxa"/>
          </w:tblCellMar>
        </w:tblPrEx>
        <w:trPr>
          <w:jc w:val="center"/>
        </w:trPr>
        <w:tc>
          <w:tcPr>
            <w:tcW w:w="3240" w:type="dxa"/>
            <w:tcBorders>
              <w:top w:val="nil"/>
            </w:tcBorders>
          </w:tcPr>
          <w:p w:rsidR="00000000" w:rsidRDefault="00C40079">
            <w:pPr>
              <w:tabs>
                <w:tab w:val="left" w:pos="720"/>
                <w:tab w:val="left" w:pos="1080"/>
                <w:tab w:val="left" w:pos="1440"/>
                <w:tab w:val="left" w:pos="1800"/>
                <w:tab w:val="left" w:pos="2160"/>
              </w:tabs>
              <w:jc w:val="center"/>
              <w:rPr>
                <w:sz w:val="24"/>
              </w:rPr>
            </w:pPr>
            <w:r>
              <w:rPr>
                <w:sz w:val="24"/>
              </w:rPr>
              <w:t>Ancora S.H.</w:t>
            </w:r>
          </w:p>
        </w:tc>
        <w:tc>
          <w:tcPr>
            <w:tcW w:w="3444" w:type="dxa"/>
            <w:tcBorders>
              <w:top w:val="nil"/>
            </w:tcBorders>
          </w:tcPr>
          <w:p w:rsidR="00000000" w:rsidRDefault="00C40079">
            <w:pPr>
              <w:tabs>
                <w:tab w:val="left" w:pos="720"/>
                <w:tab w:val="left" w:pos="1080"/>
                <w:tab w:val="left" w:pos="1440"/>
                <w:tab w:val="left" w:pos="1800"/>
                <w:tab w:val="left" w:pos="2160"/>
              </w:tabs>
              <w:jc w:val="center"/>
              <w:rPr>
                <w:sz w:val="24"/>
              </w:rPr>
            </w:pPr>
            <w:r>
              <w:rPr>
                <w:sz w:val="24"/>
              </w:rPr>
              <w:t>0.8</w:t>
            </w:r>
          </w:p>
        </w:tc>
      </w:tr>
      <w:tr w:rsidR="00000000">
        <w:tblPrEx>
          <w:tblCellMar>
            <w:top w:w="0" w:type="dxa"/>
            <w:bottom w:w="0" w:type="dxa"/>
          </w:tblCellMar>
        </w:tblPrEx>
        <w:trPr>
          <w:jc w:val="center"/>
        </w:trPr>
        <w:tc>
          <w:tcPr>
            <w:tcW w:w="3240" w:type="dxa"/>
          </w:tcPr>
          <w:p w:rsidR="00000000" w:rsidRDefault="00C40079">
            <w:pPr>
              <w:tabs>
                <w:tab w:val="left" w:pos="720"/>
                <w:tab w:val="left" w:pos="1080"/>
                <w:tab w:val="left" w:pos="1440"/>
                <w:tab w:val="left" w:pos="1800"/>
                <w:tab w:val="left" w:pos="2160"/>
              </w:tabs>
              <w:jc w:val="center"/>
              <w:rPr>
                <w:sz w:val="24"/>
              </w:rPr>
            </w:pPr>
            <w:r>
              <w:rPr>
                <w:sz w:val="24"/>
              </w:rPr>
              <w:t>Burlington</w:t>
            </w:r>
          </w:p>
        </w:tc>
        <w:tc>
          <w:tcPr>
            <w:tcW w:w="3444" w:type="dxa"/>
          </w:tcPr>
          <w:p w:rsidR="00000000" w:rsidRDefault="00C40079">
            <w:pPr>
              <w:tabs>
                <w:tab w:val="left" w:pos="720"/>
                <w:tab w:val="left" w:pos="1080"/>
                <w:tab w:val="left" w:pos="1440"/>
                <w:tab w:val="left" w:pos="1800"/>
                <w:tab w:val="left" w:pos="2160"/>
              </w:tabs>
              <w:jc w:val="center"/>
              <w:rPr>
                <w:sz w:val="24"/>
              </w:rPr>
            </w:pPr>
            <w:r>
              <w:rPr>
                <w:sz w:val="24"/>
              </w:rPr>
              <w:t>2.5</w:t>
            </w:r>
          </w:p>
        </w:tc>
      </w:tr>
      <w:tr w:rsidR="00000000">
        <w:tblPrEx>
          <w:tblCellMar>
            <w:top w:w="0" w:type="dxa"/>
            <w:bottom w:w="0" w:type="dxa"/>
          </w:tblCellMar>
        </w:tblPrEx>
        <w:trPr>
          <w:jc w:val="center"/>
        </w:trPr>
        <w:tc>
          <w:tcPr>
            <w:tcW w:w="3240" w:type="dxa"/>
          </w:tcPr>
          <w:p w:rsidR="00000000" w:rsidRDefault="00C40079">
            <w:pPr>
              <w:tabs>
                <w:tab w:val="left" w:pos="720"/>
                <w:tab w:val="left" w:pos="1080"/>
                <w:tab w:val="left" w:pos="1440"/>
                <w:tab w:val="left" w:pos="1800"/>
                <w:tab w:val="left" w:pos="2160"/>
              </w:tabs>
              <w:jc w:val="center"/>
              <w:rPr>
                <w:sz w:val="24"/>
              </w:rPr>
            </w:pPr>
            <w:r>
              <w:rPr>
                <w:sz w:val="24"/>
              </w:rPr>
              <w:t>Camden Lab</w:t>
            </w:r>
            <w:r>
              <w:rPr>
                <w:sz w:val="24"/>
                <w:vertAlign w:val="superscript"/>
              </w:rPr>
              <w:t>(1)</w:t>
            </w:r>
          </w:p>
        </w:tc>
        <w:tc>
          <w:tcPr>
            <w:tcW w:w="3444" w:type="dxa"/>
          </w:tcPr>
          <w:p w:rsidR="00000000" w:rsidRDefault="00C40079">
            <w:pPr>
              <w:tabs>
                <w:tab w:val="left" w:pos="720"/>
                <w:tab w:val="left" w:pos="1080"/>
                <w:tab w:val="left" w:pos="1440"/>
                <w:tab w:val="left" w:pos="1800"/>
                <w:tab w:val="left" w:pos="2160"/>
              </w:tabs>
              <w:jc w:val="center"/>
              <w:rPr>
                <w:sz w:val="24"/>
              </w:rPr>
            </w:pPr>
            <w:r>
              <w:rPr>
                <w:sz w:val="24"/>
              </w:rPr>
              <w:t>2.1</w:t>
            </w:r>
          </w:p>
        </w:tc>
      </w:tr>
      <w:tr w:rsidR="00000000">
        <w:tblPrEx>
          <w:tblCellMar>
            <w:top w:w="0" w:type="dxa"/>
            <w:bottom w:w="0" w:type="dxa"/>
          </w:tblCellMar>
        </w:tblPrEx>
        <w:trPr>
          <w:jc w:val="center"/>
        </w:trPr>
        <w:tc>
          <w:tcPr>
            <w:tcW w:w="3240" w:type="dxa"/>
          </w:tcPr>
          <w:p w:rsidR="00000000" w:rsidRDefault="00C40079">
            <w:pPr>
              <w:tabs>
                <w:tab w:val="left" w:pos="720"/>
                <w:tab w:val="left" w:pos="1080"/>
                <w:tab w:val="left" w:pos="1440"/>
                <w:tab w:val="left" w:pos="1800"/>
                <w:tab w:val="left" w:pos="2160"/>
              </w:tabs>
              <w:jc w:val="center"/>
              <w:rPr>
                <w:sz w:val="24"/>
              </w:rPr>
            </w:pPr>
            <w:r>
              <w:rPr>
                <w:sz w:val="24"/>
              </w:rPr>
              <w:t>East Orange</w:t>
            </w:r>
          </w:p>
        </w:tc>
        <w:tc>
          <w:tcPr>
            <w:tcW w:w="3444" w:type="dxa"/>
          </w:tcPr>
          <w:p w:rsidR="00000000" w:rsidRDefault="00C40079">
            <w:pPr>
              <w:tabs>
                <w:tab w:val="left" w:pos="720"/>
                <w:tab w:val="left" w:pos="1080"/>
                <w:tab w:val="left" w:pos="1440"/>
                <w:tab w:val="left" w:pos="1800"/>
                <w:tab w:val="left" w:pos="2160"/>
              </w:tabs>
              <w:jc w:val="center"/>
              <w:rPr>
                <w:sz w:val="24"/>
              </w:rPr>
            </w:pPr>
            <w:r>
              <w:rPr>
                <w:sz w:val="24"/>
              </w:rPr>
              <w:t>4.2</w:t>
            </w:r>
          </w:p>
        </w:tc>
      </w:tr>
      <w:tr w:rsidR="00000000">
        <w:tblPrEx>
          <w:tblCellMar>
            <w:top w:w="0" w:type="dxa"/>
            <w:bottom w:w="0" w:type="dxa"/>
          </w:tblCellMar>
        </w:tblPrEx>
        <w:trPr>
          <w:jc w:val="center"/>
        </w:trPr>
        <w:tc>
          <w:tcPr>
            <w:tcW w:w="3240" w:type="dxa"/>
          </w:tcPr>
          <w:p w:rsidR="00000000" w:rsidRDefault="00C40079">
            <w:pPr>
              <w:tabs>
                <w:tab w:val="left" w:pos="720"/>
                <w:tab w:val="left" w:pos="1080"/>
                <w:tab w:val="left" w:pos="1440"/>
                <w:tab w:val="left" w:pos="1800"/>
                <w:tab w:val="left" w:pos="2160"/>
              </w:tabs>
              <w:jc w:val="center"/>
              <w:rPr>
                <w:sz w:val="24"/>
              </w:rPr>
            </w:pPr>
            <w:r>
              <w:rPr>
                <w:sz w:val="24"/>
              </w:rPr>
              <w:t>Elizabeth</w:t>
            </w:r>
          </w:p>
        </w:tc>
        <w:tc>
          <w:tcPr>
            <w:tcW w:w="3444" w:type="dxa"/>
          </w:tcPr>
          <w:p w:rsidR="00000000" w:rsidRDefault="00C40079">
            <w:pPr>
              <w:tabs>
                <w:tab w:val="left" w:pos="720"/>
                <w:tab w:val="left" w:pos="1080"/>
                <w:tab w:val="left" w:pos="1440"/>
                <w:tab w:val="left" w:pos="1800"/>
                <w:tab w:val="left" w:pos="2160"/>
              </w:tabs>
              <w:jc w:val="center"/>
              <w:rPr>
                <w:sz w:val="24"/>
              </w:rPr>
            </w:pPr>
            <w:r>
              <w:rPr>
                <w:sz w:val="24"/>
              </w:rPr>
              <w:t>4.4</w:t>
            </w:r>
          </w:p>
        </w:tc>
      </w:tr>
      <w:tr w:rsidR="00000000">
        <w:tblPrEx>
          <w:tblCellMar>
            <w:top w:w="0" w:type="dxa"/>
            <w:bottom w:w="0" w:type="dxa"/>
          </w:tblCellMar>
        </w:tblPrEx>
        <w:trPr>
          <w:jc w:val="center"/>
        </w:trPr>
        <w:tc>
          <w:tcPr>
            <w:tcW w:w="3240" w:type="dxa"/>
          </w:tcPr>
          <w:p w:rsidR="00000000" w:rsidRDefault="00C40079">
            <w:pPr>
              <w:tabs>
                <w:tab w:val="left" w:pos="720"/>
                <w:tab w:val="left" w:pos="1080"/>
                <w:tab w:val="left" w:pos="1440"/>
                <w:tab w:val="left" w:pos="1800"/>
                <w:tab w:val="left" w:pos="2160"/>
              </w:tabs>
              <w:jc w:val="center"/>
              <w:rPr>
                <w:sz w:val="24"/>
              </w:rPr>
            </w:pPr>
            <w:r>
              <w:rPr>
                <w:sz w:val="24"/>
              </w:rPr>
              <w:t>Elizabeth Lab</w:t>
            </w:r>
          </w:p>
        </w:tc>
        <w:tc>
          <w:tcPr>
            <w:tcW w:w="3444" w:type="dxa"/>
          </w:tcPr>
          <w:p w:rsidR="00000000" w:rsidRDefault="00C40079">
            <w:pPr>
              <w:tabs>
                <w:tab w:val="left" w:pos="720"/>
                <w:tab w:val="left" w:pos="1080"/>
                <w:tab w:val="left" w:pos="1440"/>
                <w:tab w:val="left" w:pos="1800"/>
                <w:tab w:val="left" w:pos="2160"/>
              </w:tabs>
              <w:jc w:val="center"/>
              <w:rPr>
                <w:sz w:val="24"/>
              </w:rPr>
            </w:pPr>
            <w:r>
              <w:rPr>
                <w:sz w:val="24"/>
              </w:rPr>
              <w:t>3.1</w:t>
            </w:r>
          </w:p>
        </w:tc>
      </w:tr>
      <w:tr w:rsidR="00000000">
        <w:tblPrEx>
          <w:tblCellMar>
            <w:top w:w="0" w:type="dxa"/>
            <w:bottom w:w="0" w:type="dxa"/>
          </w:tblCellMar>
        </w:tblPrEx>
        <w:trPr>
          <w:jc w:val="center"/>
        </w:trPr>
        <w:tc>
          <w:tcPr>
            <w:tcW w:w="3240" w:type="dxa"/>
          </w:tcPr>
          <w:p w:rsidR="00000000" w:rsidRDefault="00C40079">
            <w:pPr>
              <w:tabs>
                <w:tab w:val="left" w:pos="720"/>
                <w:tab w:val="left" w:pos="1080"/>
                <w:tab w:val="left" w:pos="1440"/>
                <w:tab w:val="left" w:pos="1800"/>
                <w:tab w:val="left" w:pos="2160"/>
              </w:tabs>
              <w:jc w:val="center"/>
              <w:rPr>
                <w:sz w:val="24"/>
              </w:rPr>
            </w:pPr>
            <w:r>
              <w:rPr>
                <w:sz w:val="24"/>
              </w:rPr>
              <w:t>Fort Lee</w:t>
            </w:r>
            <w:r>
              <w:rPr>
                <w:sz w:val="24"/>
                <w:vertAlign w:val="superscript"/>
              </w:rPr>
              <w:t>(2)</w:t>
            </w:r>
          </w:p>
        </w:tc>
        <w:tc>
          <w:tcPr>
            <w:tcW w:w="3444" w:type="dxa"/>
          </w:tcPr>
          <w:p w:rsidR="00000000" w:rsidRDefault="00C40079">
            <w:pPr>
              <w:tabs>
                <w:tab w:val="left" w:pos="720"/>
                <w:tab w:val="left" w:pos="1080"/>
                <w:tab w:val="left" w:pos="1440"/>
                <w:tab w:val="left" w:pos="1800"/>
                <w:tab w:val="left" w:pos="2160"/>
              </w:tabs>
              <w:jc w:val="center"/>
              <w:rPr>
                <w:sz w:val="24"/>
              </w:rPr>
            </w:pPr>
            <w:r>
              <w:rPr>
                <w:sz w:val="24"/>
              </w:rPr>
              <w:t>2.6</w:t>
            </w:r>
          </w:p>
        </w:tc>
      </w:tr>
      <w:tr w:rsidR="00000000">
        <w:tblPrEx>
          <w:tblCellMar>
            <w:top w:w="0" w:type="dxa"/>
            <w:bottom w:w="0" w:type="dxa"/>
          </w:tblCellMar>
        </w:tblPrEx>
        <w:trPr>
          <w:jc w:val="center"/>
        </w:trPr>
        <w:tc>
          <w:tcPr>
            <w:tcW w:w="3240" w:type="dxa"/>
          </w:tcPr>
          <w:p w:rsidR="00000000" w:rsidRDefault="00C40079">
            <w:pPr>
              <w:tabs>
                <w:tab w:val="left" w:pos="720"/>
                <w:tab w:val="left" w:pos="1080"/>
                <w:tab w:val="left" w:pos="1440"/>
                <w:tab w:val="left" w:pos="1800"/>
                <w:tab w:val="left" w:pos="2160"/>
              </w:tabs>
              <w:jc w:val="center"/>
              <w:rPr>
                <w:sz w:val="24"/>
              </w:rPr>
            </w:pPr>
            <w:r>
              <w:rPr>
                <w:sz w:val="24"/>
              </w:rPr>
              <w:t>Freehold</w:t>
            </w:r>
          </w:p>
        </w:tc>
        <w:tc>
          <w:tcPr>
            <w:tcW w:w="3444" w:type="dxa"/>
          </w:tcPr>
          <w:p w:rsidR="00000000" w:rsidRDefault="00C40079">
            <w:pPr>
              <w:tabs>
                <w:tab w:val="left" w:pos="720"/>
                <w:tab w:val="left" w:pos="1080"/>
                <w:tab w:val="left" w:pos="1440"/>
                <w:tab w:val="left" w:pos="1800"/>
                <w:tab w:val="left" w:pos="2160"/>
              </w:tabs>
              <w:jc w:val="center"/>
              <w:rPr>
                <w:sz w:val="24"/>
              </w:rPr>
            </w:pPr>
            <w:r>
              <w:rPr>
                <w:sz w:val="24"/>
              </w:rPr>
              <w:t>2.2</w:t>
            </w:r>
          </w:p>
        </w:tc>
      </w:tr>
      <w:tr w:rsidR="00000000">
        <w:tblPrEx>
          <w:tblCellMar>
            <w:top w:w="0" w:type="dxa"/>
            <w:bottom w:w="0" w:type="dxa"/>
          </w:tblCellMar>
        </w:tblPrEx>
        <w:trPr>
          <w:jc w:val="center"/>
        </w:trPr>
        <w:tc>
          <w:tcPr>
            <w:tcW w:w="3240" w:type="dxa"/>
          </w:tcPr>
          <w:p w:rsidR="00000000" w:rsidRDefault="00C40079">
            <w:pPr>
              <w:tabs>
                <w:tab w:val="left" w:pos="720"/>
                <w:tab w:val="left" w:pos="1080"/>
                <w:tab w:val="left" w:pos="1440"/>
                <w:tab w:val="left" w:pos="1800"/>
                <w:tab w:val="left" w:pos="2160"/>
              </w:tabs>
              <w:jc w:val="center"/>
              <w:rPr>
                <w:sz w:val="24"/>
              </w:rPr>
            </w:pPr>
            <w:r>
              <w:rPr>
                <w:sz w:val="24"/>
              </w:rPr>
              <w:t>Hackensack</w:t>
            </w:r>
          </w:p>
        </w:tc>
        <w:tc>
          <w:tcPr>
            <w:tcW w:w="3444" w:type="dxa"/>
          </w:tcPr>
          <w:p w:rsidR="00000000" w:rsidRDefault="00C40079">
            <w:pPr>
              <w:tabs>
                <w:tab w:val="left" w:pos="720"/>
                <w:tab w:val="left" w:pos="1080"/>
                <w:tab w:val="left" w:pos="1440"/>
                <w:tab w:val="left" w:pos="1800"/>
                <w:tab w:val="left" w:pos="2160"/>
              </w:tabs>
              <w:jc w:val="center"/>
              <w:rPr>
                <w:sz w:val="24"/>
              </w:rPr>
            </w:pPr>
            <w:r>
              <w:rPr>
                <w:sz w:val="24"/>
              </w:rPr>
              <w:t>3.4</w:t>
            </w:r>
          </w:p>
        </w:tc>
      </w:tr>
      <w:tr w:rsidR="00000000">
        <w:tblPrEx>
          <w:tblCellMar>
            <w:top w:w="0" w:type="dxa"/>
            <w:bottom w:w="0" w:type="dxa"/>
          </w:tblCellMar>
        </w:tblPrEx>
        <w:trPr>
          <w:jc w:val="center"/>
        </w:trPr>
        <w:tc>
          <w:tcPr>
            <w:tcW w:w="3240" w:type="dxa"/>
          </w:tcPr>
          <w:p w:rsidR="00000000" w:rsidRDefault="00C40079">
            <w:pPr>
              <w:tabs>
                <w:tab w:val="left" w:pos="720"/>
                <w:tab w:val="left" w:pos="1080"/>
                <w:tab w:val="left" w:pos="1440"/>
                <w:tab w:val="left" w:pos="1800"/>
                <w:tab w:val="left" w:pos="2160"/>
              </w:tabs>
              <w:jc w:val="center"/>
              <w:rPr>
                <w:sz w:val="24"/>
              </w:rPr>
            </w:pPr>
            <w:r>
              <w:rPr>
                <w:sz w:val="24"/>
              </w:rPr>
              <w:t>Jersey Ci</w:t>
            </w:r>
            <w:r>
              <w:rPr>
                <w:sz w:val="24"/>
              </w:rPr>
              <w:t>ty</w:t>
            </w:r>
          </w:p>
        </w:tc>
        <w:tc>
          <w:tcPr>
            <w:tcW w:w="3444" w:type="dxa"/>
          </w:tcPr>
          <w:p w:rsidR="00000000" w:rsidRDefault="00C40079">
            <w:pPr>
              <w:tabs>
                <w:tab w:val="left" w:pos="720"/>
                <w:tab w:val="left" w:pos="1080"/>
                <w:tab w:val="left" w:pos="1440"/>
                <w:tab w:val="left" w:pos="1800"/>
                <w:tab w:val="left" w:pos="2160"/>
              </w:tabs>
              <w:jc w:val="center"/>
              <w:rPr>
                <w:sz w:val="24"/>
              </w:rPr>
            </w:pPr>
            <w:r>
              <w:rPr>
                <w:sz w:val="24"/>
              </w:rPr>
              <w:t>2.9</w:t>
            </w:r>
          </w:p>
        </w:tc>
      </w:tr>
      <w:tr w:rsidR="00000000">
        <w:tblPrEx>
          <w:tblCellMar>
            <w:top w:w="0" w:type="dxa"/>
            <w:bottom w:w="0" w:type="dxa"/>
          </w:tblCellMar>
        </w:tblPrEx>
        <w:trPr>
          <w:jc w:val="center"/>
        </w:trPr>
        <w:tc>
          <w:tcPr>
            <w:tcW w:w="3240" w:type="dxa"/>
          </w:tcPr>
          <w:p w:rsidR="00000000" w:rsidRDefault="00C40079">
            <w:pPr>
              <w:tabs>
                <w:tab w:val="left" w:pos="720"/>
                <w:tab w:val="left" w:pos="1080"/>
                <w:tab w:val="left" w:pos="1440"/>
                <w:tab w:val="left" w:pos="1800"/>
                <w:tab w:val="left" w:pos="2160"/>
              </w:tabs>
              <w:jc w:val="center"/>
              <w:rPr>
                <w:sz w:val="24"/>
              </w:rPr>
            </w:pPr>
            <w:r>
              <w:rPr>
                <w:sz w:val="24"/>
              </w:rPr>
              <w:t>Morristown</w:t>
            </w:r>
          </w:p>
        </w:tc>
        <w:tc>
          <w:tcPr>
            <w:tcW w:w="3444" w:type="dxa"/>
          </w:tcPr>
          <w:p w:rsidR="00000000" w:rsidRDefault="00C40079">
            <w:pPr>
              <w:tabs>
                <w:tab w:val="left" w:pos="720"/>
                <w:tab w:val="left" w:pos="1080"/>
                <w:tab w:val="left" w:pos="1440"/>
                <w:tab w:val="left" w:pos="1800"/>
                <w:tab w:val="left" w:pos="2160"/>
              </w:tabs>
              <w:jc w:val="center"/>
              <w:rPr>
                <w:sz w:val="24"/>
              </w:rPr>
            </w:pPr>
            <w:r>
              <w:rPr>
                <w:sz w:val="24"/>
              </w:rPr>
              <w:t>2.4</w:t>
            </w:r>
          </w:p>
        </w:tc>
      </w:tr>
      <w:tr w:rsidR="00000000">
        <w:tblPrEx>
          <w:tblCellMar>
            <w:top w:w="0" w:type="dxa"/>
            <w:bottom w:w="0" w:type="dxa"/>
          </w:tblCellMar>
        </w:tblPrEx>
        <w:trPr>
          <w:jc w:val="center"/>
        </w:trPr>
        <w:tc>
          <w:tcPr>
            <w:tcW w:w="3240" w:type="dxa"/>
          </w:tcPr>
          <w:p w:rsidR="00000000" w:rsidRDefault="00C40079">
            <w:pPr>
              <w:tabs>
                <w:tab w:val="left" w:pos="720"/>
                <w:tab w:val="left" w:pos="1080"/>
                <w:tab w:val="left" w:pos="1440"/>
                <w:tab w:val="left" w:pos="1800"/>
                <w:tab w:val="left" w:pos="2160"/>
              </w:tabs>
              <w:jc w:val="center"/>
              <w:rPr>
                <w:sz w:val="24"/>
              </w:rPr>
            </w:pPr>
            <w:r>
              <w:rPr>
                <w:sz w:val="24"/>
              </w:rPr>
              <w:t>Newark Lab</w:t>
            </w:r>
            <w:r>
              <w:rPr>
                <w:sz w:val="24"/>
                <w:vertAlign w:val="superscript"/>
              </w:rPr>
              <w:t>(3)</w:t>
            </w:r>
          </w:p>
        </w:tc>
        <w:tc>
          <w:tcPr>
            <w:tcW w:w="3444" w:type="dxa"/>
          </w:tcPr>
          <w:p w:rsidR="00000000" w:rsidRDefault="00C40079">
            <w:pPr>
              <w:tabs>
                <w:tab w:val="left" w:pos="720"/>
                <w:tab w:val="left" w:pos="1080"/>
                <w:tab w:val="left" w:pos="1440"/>
                <w:tab w:val="left" w:pos="1800"/>
                <w:tab w:val="left" w:pos="2160"/>
              </w:tabs>
              <w:jc w:val="center"/>
              <w:rPr>
                <w:sz w:val="24"/>
              </w:rPr>
            </w:pPr>
            <w:r>
              <w:rPr>
                <w:sz w:val="24"/>
              </w:rPr>
              <w:t>2.9</w:t>
            </w:r>
          </w:p>
        </w:tc>
      </w:tr>
      <w:tr w:rsidR="00000000">
        <w:tblPrEx>
          <w:tblCellMar>
            <w:top w:w="0" w:type="dxa"/>
            <w:bottom w:w="0" w:type="dxa"/>
          </w:tblCellMar>
        </w:tblPrEx>
        <w:trPr>
          <w:jc w:val="center"/>
        </w:trPr>
        <w:tc>
          <w:tcPr>
            <w:tcW w:w="3240" w:type="dxa"/>
          </w:tcPr>
          <w:p w:rsidR="00000000" w:rsidRDefault="00C40079">
            <w:pPr>
              <w:tabs>
                <w:tab w:val="left" w:pos="720"/>
                <w:tab w:val="left" w:pos="1080"/>
                <w:tab w:val="left" w:pos="1440"/>
                <w:tab w:val="left" w:pos="1800"/>
                <w:tab w:val="left" w:pos="2160"/>
              </w:tabs>
              <w:jc w:val="center"/>
              <w:rPr>
                <w:sz w:val="24"/>
              </w:rPr>
            </w:pPr>
            <w:r>
              <w:rPr>
                <w:sz w:val="24"/>
              </w:rPr>
              <w:t>Perth Amboy</w:t>
            </w:r>
          </w:p>
        </w:tc>
        <w:tc>
          <w:tcPr>
            <w:tcW w:w="3444" w:type="dxa"/>
          </w:tcPr>
          <w:p w:rsidR="00000000" w:rsidRDefault="00C40079">
            <w:pPr>
              <w:tabs>
                <w:tab w:val="left" w:pos="720"/>
                <w:tab w:val="left" w:pos="1080"/>
                <w:tab w:val="left" w:pos="1440"/>
                <w:tab w:val="left" w:pos="1800"/>
                <w:tab w:val="left" w:pos="2160"/>
              </w:tabs>
              <w:jc w:val="center"/>
              <w:rPr>
                <w:sz w:val="24"/>
              </w:rPr>
            </w:pPr>
            <w:r>
              <w:rPr>
                <w:sz w:val="24"/>
              </w:rPr>
              <w:t>2.5</w:t>
            </w:r>
          </w:p>
        </w:tc>
      </w:tr>
    </w:tbl>
    <w:p w:rsidR="00000000" w:rsidRDefault="00C40079">
      <w:pPr>
        <w:pStyle w:val="Level2"/>
        <w:tabs>
          <w:tab w:val="left" w:pos="720"/>
          <w:tab w:val="left" w:pos="1080"/>
          <w:tab w:val="left" w:pos="1440"/>
          <w:tab w:val="left" w:pos="1800"/>
          <w:tab w:val="left" w:pos="2160"/>
        </w:tabs>
        <w:ind w:left="720" w:firstLine="720"/>
        <w:rPr>
          <w:sz w:val="22"/>
        </w:rPr>
      </w:pPr>
      <w:r>
        <w:rPr>
          <w:sz w:val="22"/>
        </w:rPr>
        <w:t>Notes:</w:t>
      </w:r>
    </w:p>
    <w:p w:rsidR="00000000" w:rsidRDefault="00C40079">
      <w:pPr>
        <w:pStyle w:val="Level2"/>
        <w:numPr>
          <w:ilvl w:val="0"/>
          <w:numId w:val="41"/>
        </w:numPr>
        <w:tabs>
          <w:tab w:val="clear" w:pos="360"/>
          <w:tab w:val="left" w:pos="720"/>
          <w:tab w:val="left" w:pos="1080"/>
          <w:tab w:val="left" w:pos="1440"/>
          <w:tab w:val="left" w:pos="1800"/>
          <w:tab w:val="left" w:pos="2160"/>
        </w:tabs>
        <w:ind w:left="1800"/>
        <w:rPr>
          <w:sz w:val="22"/>
        </w:rPr>
      </w:pPr>
      <w:r>
        <w:rPr>
          <w:sz w:val="22"/>
        </w:rPr>
        <w:t>Data not available October-December 2003</w:t>
      </w:r>
    </w:p>
    <w:p w:rsidR="00000000" w:rsidRDefault="00C40079">
      <w:pPr>
        <w:pStyle w:val="Level2"/>
        <w:numPr>
          <w:ilvl w:val="0"/>
          <w:numId w:val="41"/>
        </w:numPr>
        <w:tabs>
          <w:tab w:val="clear" w:pos="360"/>
          <w:tab w:val="left" w:pos="720"/>
          <w:tab w:val="left" w:pos="1080"/>
          <w:tab w:val="left" w:pos="1440"/>
          <w:tab w:val="left" w:pos="1800"/>
          <w:tab w:val="left" w:pos="2160"/>
        </w:tabs>
        <w:ind w:left="1800"/>
        <w:rPr>
          <w:sz w:val="22"/>
        </w:rPr>
      </w:pPr>
      <w:r>
        <w:rPr>
          <w:sz w:val="22"/>
        </w:rPr>
        <w:t>Data not available July-August 2002</w:t>
      </w:r>
    </w:p>
    <w:p w:rsidR="00000000" w:rsidRDefault="00C40079">
      <w:pPr>
        <w:pStyle w:val="Level2"/>
        <w:numPr>
          <w:ilvl w:val="0"/>
          <w:numId w:val="41"/>
        </w:numPr>
        <w:tabs>
          <w:tab w:val="clear" w:pos="360"/>
          <w:tab w:val="left" w:pos="720"/>
          <w:tab w:val="left" w:pos="1080"/>
          <w:tab w:val="left" w:pos="1440"/>
          <w:tab w:val="left" w:pos="1800"/>
          <w:tab w:val="left" w:pos="2160"/>
        </w:tabs>
        <w:ind w:left="1800"/>
        <w:rPr>
          <w:sz w:val="22"/>
        </w:rPr>
      </w:pPr>
      <w:r>
        <w:rPr>
          <w:sz w:val="22"/>
        </w:rPr>
        <w:t>Data not available July-December 2003</w:t>
      </w: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39"/>
        </w:numPr>
        <w:tabs>
          <w:tab w:val="clear" w:pos="360"/>
          <w:tab w:val="left" w:pos="720"/>
          <w:tab w:val="left" w:pos="1080"/>
          <w:tab w:val="left" w:pos="1440"/>
          <w:tab w:val="left" w:pos="1800"/>
          <w:tab w:val="left" w:pos="2160"/>
        </w:tabs>
        <w:ind w:left="1440" w:hanging="720"/>
        <w:rPr>
          <w:b/>
        </w:rPr>
      </w:pPr>
      <w:bookmarkStart w:id="152" w:name="EPA_Guide_LMP"/>
      <w:bookmarkStart w:id="153" w:name="_Hlt126641495"/>
      <w:bookmarkEnd w:id="153"/>
      <w:r>
        <w:rPr>
          <w:b/>
        </w:rPr>
        <w:t>The USEPA Guidance and Requirements for Limited Maintenance Plans</w:t>
      </w:r>
      <w:bookmarkEnd w:id="152"/>
      <w:r>
        <w:rPr>
          <w:b/>
        </w:rPr>
        <w:tab/>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42 U.</w:t>
      </w:r>
      <w:r>
        <w:t>S.C. §7505a requires that, eight years after redesignation of any area as an attainment area, states submit an additional revision of the SIP for maintaining the NAAQS for ten years beyond the initial ten-year maintenance period.  Two of New Jersey’s maint</w:t>
      </w:r>
      <w:r>
        <w:t xml:space="preserve">enance plans (the Camden County area and the Nine Not-Classified areas) expire in 2007.  New Jersey is proposing a consolidated Limited Maintenance Plan that would cover all of the second ten-year period for both areas.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USEPA issued guidance in 1995</w:t>
      </w:r>
      <w:r>
        <w:t xml:space="preserve"> describing the eligibility criteria and planning requirements for limited maintenance plans.</w:t>
      </w:r>
      <w:r>
        <w:rPr>
          <w:rStyle w:val="FootnoteReference"/>
          <w:vertAlign w:val="superscript"/>
        </w:rPr>
        <w:footnoteReference w:id="47"/>
      </w:r>
      <w:r>
        <w:t xml:space="preserve">  The USEPA Region II provided supplemental information specific to New Jersey in correspondence dated January 27, 2005.</w:t>
      </w:r>
      <w:r>
        <w:rPr>
          <w:rStyle w:val="FootnoteReference"/>
          <w:sz w:val="20"/>
          <w:vertAlign w:val="superscript"/>
        </w:rPr>
        <w:footnoteReference w:id="48"/>
      </w:r>
      <w:r>
        <w:t xml:space="preserve">  USEPA Region II provided additional gui</w:t>
      </w:r>
      <w:r>
        <w:t>dance.</w:t>
      </w:r>
      <w:r>
        <w:rPr>
          <w:rStyle w:val="FootnoteReference"/>
          <w:vertAlign w:val="superscript"/>
        </w:rPr>
        <w:footnoteReference w:id="49"/>
      </w:r>
      <w:r>
        <w:t xml:space="preserve">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Areas are eligible for limited maintenance plans only if current carbon monoxide design values are at or below 7.65 parts per million (i.e., set at 85 percent of the 8-hour NAAQS of 9 parts per million).  Table XIII demonstrates that this is the</w:t>
      </w:r>
      <w:r>
        <w:t xml:space="preserve"> case for all of the sites located in the three New </w:t>
      </w:r>
      <w:r>
        <w:lastRenderedPageBreak/>
        <w:t>Jersey’s carbon monoxide maintenance areas.  In addition to an analysis of monitoring data to demonstrate eligibility, approvable Limited Maintenance Plans must contain the following planning elements:</w:t>
      </w: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58"/>
        </w:numPr>
        <w:tabs>
          <w:tab w:val="clear" w:pos="360"/>
          <w:tab w:val="left" w:pos="720"/>
          <w:tab w:val="left" w:pos="1080"/>
          <w:tab w:val="left" w:pos="1440"/>
          <w:tab w:val="left" w:pos="1800"/>
          <w:tab w:val="left" w:pos="2160"/>
        </w:tabs>
        <w:ind w:left="720"/>
      </w:pPr>
      <w:r>
        <w:rPr>
          <w:b/>
        </w:rPr>
        <w:t>A</w:t>
      </w:r>
      <w:r>
        <w:rPr>
          <w:b/>
        </w:rPr>
        <w:t>ttainment Inventory</w:t>
      </w:r>
      <w:r>
        <w:t>: New Jersey is required to submit an attainment inventory (summary of wintertime carbon monoxide emissions data by county and sector) to the USEPA that coincides with a year where monitoring data show attainment.</w:t>
      </w:r>
      <w:r>
        <w:rPr>
          <w:rStyle w:val="FootnoteReference"/>
          <w:vertAlign w:val="superscript"/>
        </w:rPr>
        <w:footnoteReference w:id="50"/>
      </w:r>
      <w:r>
        <w:t xml:space="preserve">  Emission projections </w:t>
      </w:r>
      <w:r>
        <w:t>for the maintenance period are not required.</w:t>
      </w:r>
    </w:p>
    <w:p w:rsidR="00000000" w:rsidRDefault="00C40079">
      <w:pPr>
        <w:pStyle w:val="Level2"/>
        <w:tabs>
          <w:tab w:val="left" w:pos="720"/>
          <w:tab w:val="left" w:pos="1080"/>
          <w:tab w:val="left" w:pos="1440"/>
          <w:tab w:val="left" w:pos="1800"/>
          <w:tab w:val="left" w:pos="2160"/>
        </w:tabs>
        <w:ind w:left="360"/>
      </w:pPr>
      <w:r>
        <w:t xml:space="preserve">  </w:t>
      </w:r>
    </w:p>
    <w:p w:rsidR="00000000" w:rsidRDefault="00C40079">
      <w:pPr>
        <w:pStyle w:val="Level2"/>
        <w:numPr>
          <w:ilvl w:val="0"/>
          <w:numId w:val="58"/>
        </w:numPr>
        <w:tabs>
          <w:tab w:val="clear" w:pos="360"/>
          <w:tab w:val="left" w:pos="720"/>
          <w:tab w:val="left" w:pos="1080"/>
          <w:tab w:val="left" w:pos="1440"/>
          <w:tab w:val="left" w:pos="1800"/>
          <w:tab w:val="left" w:pos="2160"/>
        </w:tabs>
        <w:ind w:left="720"/>
      </w:pPr>
      <w:r>
        <w:rPr>
          <w:b/>
        </w:rPr>
        <w:t>Maintenance Demonstration</w:t>
      </w:r>
      <w:r>
        <w:t xml:space="preserve">: The following elements provide adequate assurance of maintenance: </w:t>
      </w:r>
    </w:p>
    <w:p w:rsidR="00000000" w:rsidRDefault="00C40079">
      <w:pPr>
        <w:pStyle w:val="Level2"/>
        <w:numPr>
          <w:ilvl w:val="0"/>
          <w:numId w:val="43"/>
        </w:numPr>
        <w:tabs>
          <w:tab w:val="clear" w:pos="360"/>
          <w:tab w:val="left" w:pos="720"/>
          <w:tab w:val="left" w:pos="1080"/>
          <w:tab w:val="left" w:pos="1440"/>
          <w:tab w:val="left" w:pos="1800"/>
          <w:tab w:val="left" w:pos="2160"/>
        </w:tabs>
        <w:ind w:left="1080"/>
      </w:pPr>
      <w:r>
        <w:t>Continued applicability of Prevention of Significant Deterioration requirements;</w:t>
      </w:r>
    </w:p>
    <w:p w:rsidR="00000000" w:rsidRDefault="00C40079">
      <w:pPr>
        <w:pStyle w:val="Level2"/>
        <w:numPr>
          <w:ilvl w:val="0"/>
          <w:numId w:val="43"/>
        </w:numPr>
        <w:tabs>
          <w:tab w:val="clear" w:pos="360"/>
          <w:tab w:val="left" w:pos="720"/>
          <w:tab w:val="left" w:pos="1080"/>
          <w:tab w:val="left" w:pos="1440"/>
          <w:tab w:val="left" w:pos="1800"/>
          <w:tab w:val="left" w:pos="2160"/>
        </w:tabs>
        <w:ind w:left="1080"/>
      </w:pPr>
      <w:r>
        <w:t>Any control measures already in t</w:t>
      </w:r>
      <w:r>
        <w:t>he SIP.</w:t>
      </w:r>
    </w:p>
    <w:p w:rsidR="00000000" w:rsidRDefault="00C40079">
      <w:pPr>
        <w:pStyle w:val="Level2"/>
        <w:tabs>
          <w:tab w:val="left" w:pos="720"/>
          <w:tab w:val="left" w:pos="1080"/>
          <w:tab w:val="left" w:pos="1440"/>
          <w:tab w:val="left" w:pos="1800"/>
          <w:tab w:val="left" w:pos="2160"/>
        </w:tabs>
        <w:ind w:left="360"/>
      </w:pPr>
    </w:p>
    <w:p w:rsidR="00000000" w:rsidRDefault="00C40079">
      <w:pPr>
        <w:pStyle w:val="Level2"/>
        <w:numPr>
          <w:ilvl w:val="0"/>
          <w:numId w:val="58"/>
        </w:numPr>
        <w:tabs>
          <w:tab w:val="left" w:pos="720"/>
          <w:tab w:val="left" w:pos="1080"/>
          <w:tab w:val="left" w:pos="1440"/>
          <w:tab w:val="left" w:pos="1800"/>
          <w:tab w:val="left" w:pos="2160"/>
        </w:tabs>
        <w:ind w:left="720"/>
      </w:pPr>
      <w:r>
        <w:rPr>
          <w:b/>
        </w:rPr>
        <w:t>SIP Commitments</w:t>
      </w:r>
      <w:r>
        <w:t xml:space="preserve">: New Jersey must commit to: </w:t>
      </w:r>
    </w:p>
    <w:p w:rsidR="00000000" w:rsidRDefault="00C40079">
      <w:pPr>
        <w:pStyle w:val="Level2"/>
        <w:numPr>
          <w:ilvl w:val="0"/>
          <w:numId w:val="42"/>
        </w:numPr>
        <w:tabs>
          <w:tab w:val="clear" w:pos="360"/>
          <w:tab w:val="left" w:pos="720"/>
          <w:tab w:val="left" w:pos="1080"/>
          <w:tab w:val="left" w:pos="1440"/>
          <w:tab w:val="left" w:pos="1800"/>
          <w:tab w:val="left" w:pos="2160"/>
        </w:tabs>
        <w:ind w:left="1080"/>
      </w:pPr>
      <w:r>
        <w:t xml:space="preserve">Maintain a monitoring network to verify attainment through the maintenance period; </w:t>
      </w:r>
    </w:p>
    <w:p w:rsidR="00000000" w:rsidRDefault="00C40079">
      <w:pPr>
        <w:pStyle w:val="Level2"/>
        <w:numPr>
          <w:ilvl w:val="0"/>
          <w:numId w:val="42"/>
        </w:numPr>
        <w:tabs>
          <w:tab w:val="clear" w:pos="360"/>
          <w:tab w:val="left" w:pos="720"/>
          <w:tab w:val="left" w:pos="1080"/>
          <w:tab w:val="left" w:pos="1440"/>
          <w:tab w:val="left" w:pos="1800"/>
          <w:tab w:val="left" w:pos="2160"/>
        </w:tabs>
        <w:ind w:left="1080"/>
      </w:pPr>
      <w:r>
        <w:t>Continue to perform project-level transportation conformity reviews (area wide emission “budget tests” are not require</w:t>
      </w:r>
      <w:r>
        <w:t xml:space="preserve">d for limited maintenance plans); and, </w:t>
      </w:r>
    </w:p>
    <w:p w:rsidR="00000000" w:rsidRDefault="00C40079">
      <w:pPr>
        <w:pStyle w:val="Level2"/>
        <w:numPr>
          <w:ilvl w:val="0"/>
          <w:numId w:val="42"/>
        </w:numPr>
        <w:tabs>
          <w:tab w:val="clear" w:pos="360"/>
          <w:tab w:val="left" w:pos="720"/>
          <w:tab w:val="left" w:pos="1080"/>
          <w:tab w:val="left" w:pos="1440"/>
          <w:tab w:val="left" w:pos="1800"/>
          <w:tab w:val="left" w:pos="2160"/>
        </w:tabs>
        <w:ind w:left="1080"/>
      </w:pPr>
      <w:r>
        <w:t xml:space="preserve">Submittal of a full maintenance plan if future design values in an area exceed 7.65 parts per million. </w:t>
      </w: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58"/>
        </w:numPr>
        <w:tabs>
          <w:tab w:val="left" w:pos="720"/>
          <w:tab w:val="left" w:pos="1080"/>
          <w:tab w:val="left" w:pos="1440"/>
          <w:tab w:val="left" w:pos="1800"/>
          <w:tab w:val="left" w:pos="2160"/>
        </w:tabs>
        <w:ind w:left="720"/>
      </w:pPr>
      <w:r>
        <w:rPr>
          <w:b/>
        </w:rPr>
        <w:t>Contingency Plan</w:t>
      </w:r>
      <w:r>
        <w:t>: New Jersey must document the measures that will be promptly adopted and implemented if a viol</w:t>
      </w:r>
      <w:r>
        <w:t>ation (or exceedance) of the NAAQS occurs during the maintenance period.</w:t>
      </w: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58"/>
        </w:numPr>
        <w:tabs>
          <w:tab w:val="left" w:pos="720"/>
          <w:tab w:val="left" w:pos="1080"/>
          <w:tab w:val="left" w:pos="1440"/>
          <w:tab w:val="left" w:pos="1800"/>
          <w:tab w:val="left" w:pos="2160"/>
        </w:tabs>
        <w:ind w:left="720"/>
      </w:pPr>
      <w:r>
        <w:rPr>
          <w:b/>
        </w:rPr>
        <w:t>Conformity Determinations</w:t>
      </w:r>
      <w:r>
        <w:t>: According to the 1995 USEPA guidance document for Limited Maintenance Plans, the Transportation Conformity Rule and the General Conformity Rule apply to no</w:t>
      </w:r>
      <w:r>
        <w:t>nattainment areas and maintenance areas.</w:t>
      </w:r>
      <w:r>
        <w:rPr>
          <w:rStyle w:val="FootnoteReference"/>
          <w:sz w:val="20"/>
          <w:vertAlign w:val="superscript"/>
        </w:rPr>
        <w:footnoteReference w:id="51"/>
      </w:r>
      <w:r>
        <w:rPr>
          <w:sz w:val="20"/>
          <w:vertAlign w:val="superscript"/>
        </w:rPr>
        <w:t>,</w:t>
      </w:r>
      <w:r>
        <w:rPr>
          <w:rStyle w:val="FootnoteReference"/>
          <w:sz w:val="20"/>
          <w:vertAlign w:val="superscript"/>
        </w:rPr>
        <w:footnoteReference w:id="52"/>
      </w:r>
      <w:r>
        <w:t xml:space="preserve">  The guidance document states that emissions budgets in Limited Maintenance Plan areas may be treated as not constraining for purposes of conformity.  This is true for the length of the maintenance periods becaus</w:t>
      </w:r>
      <w:r>
        <w:t xml:space="preserve">e it is unreasonable to expect that the area would experience so much growth in that period that a violation of the carbon monoxide NAAQS would result.  </w:t>
      </w:r>
    </w:p>
    <w:p w:rsidR="00000000" w:rsidRDefault="00C40079">
      <w:pPr>
        <w:pStyle w:val="Level2"/>
        <w:tabs>
          <w:tab w:val="left" w:pos="720"/>
          <w:tab w:val="left" w:pos="1080"/>
          <w:tab w:val="left" w:pos="1440"/>
          <w:tab w:val="left" w:pos="1800"/>
          <w:tab w:val="left" w:pos="2160"/>
        </w:tabs>
        <w:ind w:left="360"/>
      </w:pPr>
    </w:p>
    <w:p w:rsidR="00000000" w:rsidRDefault="00C40079">
      <w:pPr>
        <w:pStyle w:val="Level2"/>
        <w:tabs>
          <w:tab w:val="left" w:pos="720"/>
          <w:tab w:val="left" w:pos="1080"/>
          <w:tab w:val="left" w:pos="1440"/>
          <w:tab w:val="left" w:pos="1800"/>
          <w:tab w:val="left" w:pos="2160"/>
        </w:tabs>
        <w:ind w:left="720"/>
      </w:pPr>
      <w:r>
        <w:t>Once a Limited Maintenance Plan has been approved for these areas, it will no longer be</w:t>
      </w:r>
      <w:r>
        <w:tab/>
        <w:t xml:space="preserve"> necessary fo</w:t>
      </w:r>
      <w:r>
        <w:t>r the Metropolitan Planning Organizations to perform numerical regional analyses to demonstrate transportation conformity for Transportation Plans and Transportation Improvement Programs.  The State is aware that project-level carbon monoxide evaluation of</w:t>
      </w:r>
      <w:r>
        <w:t xml:space="preserve"> transportation projects (project-level conformity) still needs to be performed in areas with approved Limited Maintenance Plans.  As stated previously, a transportation conformity budget will still be required for the northeastern New Jersey carbon monoxi</w:t>
      </w:r>
      <w:r>
        <w:t>de maintenance area, and as such, a revised budget is proposed as part of this submittal.</w:t>
      </w: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39"/>
        </w:numPr>
        <w:tabs>
          <w:tab w:val="clear" w:pos="360"/>
          <w:tab w:val="left" w:pos="720"/>
          <w:tab w:val="left" w:pos="1080"/>
          <w:tab w:val="left" w:pos="1440"/>
          <w:tab w:val="left" w:pos="1800"/>
          <w:tab w:val="left" w:pos="2160"/>
        </w:tabs>
        <w:ind w:left="1440" w:hanging="720"/>
        <w:rPr>
          <w:b/>
        </w:rPr>
      </w:pPr>
      <w:bookmarkStart w:id="154" w:name="CO_MP"/>
      <w:bookmarkStart w:id="155" w:name="_Hlt126641503"/>
      <w:bookmarkEnd w:id="155"/>
      <w:r>
        <w:rPr>
          <w:b/>
        </w:rPr>
        <w:t>8-Hour Carbon Monoxide Maintenance Plan</w:t>
      </w:r>
      <w:bookmarkEnd w:id="154"/>
      <w:r>
        <w:rPr>
          <w:b/>
        </w:rPr>
        <w:tab/>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first ten-year maintenance plans and contingency measures for the Camden County and the nine not-classified carbon mono</w:t>
      </w:r>
      <w:r>
        <w:t>xide maintenance areas are summarized in Table XIV.</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jc w:val="center"/>
        <w:rPr>
          <w:b/>
        </w:rPr>
      </w:pPr>
      <w:bookmarkStart w:id="156" w:name="Table_XIV"/>
      <w:bookmarkStart w:id="157" w:name="_Hlt126641933"/>
      <w:bookmarkEnd w:id="157"/>
      <w:r>
        <w:rPr>
          <w:b/>
        </w:rPr>
        <w:t>Table XIV</w:t>
      </w:r>
      <w:bookmarkEnd w:id="156"/>
    </w:p>
    <w:p w:rsidR="00000000" w:rsidRDefault="00C40079">
      <w:pPr>
        <w:pStyle w:val="Level2"/>
        <w:tabs>
          <w:tab w:val="left" w:pos="720"/>
          <w:tab w:val="left" w:pos="1080"/>
          <w:tab w:val="left" w:pos="1440"/>
          <w:tab w:val="left" w:pos="1800"/>
          <w:tab w:val="left" w:pos="2160"/>
        </w:tabs>
        <w:jc w:val="center"/>
        <w:rPr>
          <w:b/>
        </w:rPr>
      </w:pPr>
      <w:r>
        <w:rPr>
          <w:b/>
        </w:rPr>
        <w:t>New Jersey Carbon Monoxide Maintenance Plan and Contingency Measure History</w:t>
      </w:r>
    </w:p>
    <w:p w:rsidR="00000000" w:rsidRDefault="00C40079">
      <w:pPr>
        <w:pStyle w:val="Level2"/>
        <w:tabs>
          <w:tab w:val="left" w:pos="720"/>
          <w:tab w:val="left" w:pos="1080"/>
          <w:tab w:val="left" w:pos="1440"/>
          <w:tab w:val="left" w:pos="1800"/>
          <w:tab w:val="left" w:pos="2160"/>
        </w:tabs>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00" w:firstRow="0" w:lastRow="0" w:firstColumn="0" w:lastColumn="0" w:noHBand="0" w:noVBand="0"/>
      </w:tblPr>
      <w:tblGrid>
        <w:gridCol w:w="4747"/>
        <w:gridCol w:w="4876"/>
      </w:tblGrid>
      <w:tr w:rsidR="00000000">
        <w:tblPrEx>
          <w:tblCellMar>
            <w:top w:w="0" w:type="dxa"/>
            <w:bottom w:w="0" w:type="dxa"/>
          </w:tblCellMar>
        </w:tblPrEx>
        <w:trPr>
          <w:tblHeader/>
          <w:jc w:val="center"/>
        </w:trPr>
        <w:tc>
          <w:tcPr>
            <w:tcW w:w="4747" w:type="dxa"/>
            <w:shd w:val="pct10" w:color="auto" w:fill="auto"/>
          </w:tcPr>
          <w:p w:rsidR="00000000" w:rsidRDefault="00C40079">
            <w:pPr>
              <w:tabs>
                <w:tab w:val="left" w:pos="720"/>
                <w:tab w:val="left" w:pos="1080"/>
                <w:tab w:val="left" w:pos="1440"/>
                <w:tab w:val="left" w:pos="1800"/>
                <w:tab w:val="left" w:pos="2160"/>
              </w:tabs>
              <w:jc w:val="center"/>
              <w:rPr>
                <w:b/>
                <w:sz w:val="24"/>
              </w:rPr>
            </w:pPr>
            <w:r>
              <w:rPr>
                <w:b/>
                <w:sz w:val="24"/>
              </w:rPr>
              <w:t>Camden County</w:t>
            </w:r>
          </w:p>
        </w:tc>
        <w:tc>
          <w:tcPr>
            <w:tcW w:w="4876" w:type="dxa"/>
            <w:shd w:val="pct10" w:color="auto" w:fill="auto"/>
          </w:tcPr>
          <w:p w:rsidR="00000000" w:rsidRDefault="00C40079">
            <w:pPr>
              <w:tabs>
                <w:tab w:val="left" w:pos="720"/>
                <w:tab w:val="left" w:pos="1080"/>
                <w:tab w:val="left" w:pos="1440"/>
                <w:tab w:val="left" w:pos="1800"/>
                <w:tab w:val="left" w:pos="2160"/>
              </w:tabs>
              <w:jc w:val="center"/>
              <w:rPr>
                <w:b/>
                <w:sz w:val="24"/>
              </w:rPr>
            </w:pPr>
            <w:r>
              <w:rPr>
                <w:b/>
                <w:sz w:val="24"/>
              </w:rPr>
              <w:t>Nine Not-Classified Areas</w:t>
            </w:r>
          </w:p>
        </w:tc>
      </w:tr>
      <w:tr w:rsidR="00000000">
        <w:tblPrEx>
          <w:tblCellMar>
            <w:top w:w="0" w:type="dxa"/>
            <w:bottom w:w="0" w:type="dxa"/>
          </w:tblCellMar>
        </w:tblPrEx>
        <w:trPr>
          <w:jc w:val="center"/>
        </w:trPr>
        <w:tc>
          <w:tcPr>
            <w:tcW w:w="4747" w:type="dxa"/>
          </w:tcPr>
          <w:p w:rsidR="00000000" w:rsidRDefault="00C40079">
            <w:pPr>
              <w:pStyle w:val="Heading4"/>
              <w:numPr>
                <w:ilvl w:val="0"/>
                <w:numId w:val="0"/>
              </w:numPr>
              <w:tabs>
                <w:tab w:val="left" w:pos="720"/>
                <w:tab w:val="left" w:pos="1080"/>
                <w:tab w:val="left" w:pos="1440"/>
                <w:tab w:val="left" w:pos="1800"/>
                <w:tab w:val="left" w:pos="2160"/>
              </w:tabs>
              <w:jc w:val="center"/>
            </w:pPr>
            <w:r>
              <w:t>Maintenance Plan</w:t>
            </w:r>
          </w:p>
          <w:p w:rsidR="00000000" w:rsidRDefault="00C40079">
            <w:pPr>
              <w:tabs>
                <w:tab w:val="left" w:pos="720"/>
                <w:tab w:val="left" w:pos="1080"/>
                <w:tab w:val="left" w:pos="1440"/>
                <w:tab w:val="left" w:pos="1800"/>
                <w:tab w:val="left" w:pos="2160"/>
              </w:tabs>
              <w:jc w:val="center"/>
              <w:rPr>
                <w:sz w:val="24"/>
              </w:rPr>
            </w:pPr>
            <w:r>
              <w:rPr>
                <w:sz w:val="24"/>
              </w:rPr>
              <w:t>Federal Motor Vehicle Control Program</w:t>
            </w:r>
          </w:p>
          <w:p w:rsidR="00000000" w:rsidRDefault="00C40079">
            <w:pPr>
              <w:tabs>
                <w:tab w:val="left" w:pos="720"/>
                <w:tab w:val="left" w:pos="1080"/>
                <w:tab w:val="left" w:pos="1440"/>
                <w:tab w:val="left" w:pos="1800"/>
                <w:tab w:val="left" w:pos="2160"/>
              </w:tabs>
              <w:jc w:val="center"/>
              <w:rPr>
                <w:sz w:val="24"/>
              </w:rPr>
            </w:pPr>
            <w:r>
              <w:rPr>
                <w:sz w:val="24"/>
              </w:rPr>
              <w:t>Reformulated Gasolin</w:t>
            </w:r>
            <w:r>
              <w:rPr>
                <w:sz w:val="24"/>
              </w:rPr>
              <w:t>e</w:t>
            </w:r>
          </w:p>
          <w:p w:rsidR="00000000" w:rsidRDefault="00C40079">
            <w:pPr>
              <w:tabs>
                <w:tab w:val="left" w:pos="720"/>
                <w:tab w:val="left" w:pos="1080"/>
                <w:tab w:val="left" w:pos="1440"/>
                <w:tab w:val="left" w:pos="1800"/>
                <w:tab w:val="left" w:pos="2160"/>
              </w:tabs>
              <w:jc w:val="center"/>
              <w:rPr>
                <w:sz w:val="24"/>
              </w:rPr>
            </w:pPr>
            <w:r>
              <w:rPr>
                <w:sz w:val="24"/>
              </w:rPr>
              <w:t>Basic Inspection and Maintenance Program</w:t>
            </w:r>
          </w:p>
        </w:tc>
        <w:tc>
          <w:tcPr>
            <w:tcW w:w="4876" w:type="dxa"/>
          </w:tcPr>
          <w:p w:rsidR="00000000" w:rsidRDefault="00C40079">
            <w:pPr>
              <w:pStyle w:val="Heading4"/>
              <w:numPr>
                <w:ilvl w:val="0"/>
                <w:numId w:val="0"/>
              </w:numPr>
              <w:tabs>
                <w:tab w:val="left" w:pos="720"/>
                <w:tab w:val="left" w:pos="1080"/>
                <w:tab w:val="left" w:pos="1440"/>
                <w:tab w:val="left" w:pos="1800"/>
                <w:tab w:val="left" w:pos="2160"/>
              </w:tabs>
              <w:jc w:val="center"/>
            </w:pPr>
            <w:r>
              <w:t>Maintenance Plan</w:t>
            </w:r>
          </w:p>
          <w:p w:rsidR="00000000" w:rsidRDefault="00C40079">
            <w:pPr>
              <w:tabs>
                <w:tab w:val="left" w:pos="720"/>
                <w:tab w:val="left" w:pos="1080"/>
                <w:tab w:val="left" w:pos="1440"/>
                <w:tab w:val="left" w:pos="1800"/>
                <w:tab w:val="left" w:pos="2160"/>
              </w:tabs>
              <w:jc w:val="center"/>
              <w:rPr>
                <w:sz w:val="24"/>
              </w:rPr>
            </w:pPr>
            <w:r>
              <w:rPr>
                <w:sz w:val="24"/>
              </w:rPr>
              <w:t>Federal Motor Vehicle Control Program</w:t>
            </w:r>
          </w:p>
          <w:p w:rsidR="00000000" w:rsidRDefault="00C40079">
            <w:pPr>
              <w:tabs>
                <w:tab w:val="left" w:pos="720"/>
                <w:tab w:val="left" w:pos="1080"/>
                <w:tab w:val="left" w:pos="1440"/>
                <w:tab w:val="left" w:pos="1800"/>
                <w:tab w:val="left" w:pos="2160"/>
              </w:tabs>
              <w:jc w:val="center"/>
              <w:rPr>
                <w:sz w:val="24"/>
              </w:rPr>
            </w:pPr>
            <w:r>
              <w:rPr>
                <w:sz w:val="24"/>
              </w:rPr>
              <w:t>Reformulated Gasoline</w:t>
            </w:r>
          </w:p>
          <w:p w:rsidR="00000000" w:rsidRDefault="00C40079">
            <w:pPr>
              <w:tabs>
                <w:tab w:val="left" w:pos="720"/>
                <w:tab w:val="left" w:pos="1080"/>
                <w:tab w:val="left" w:pos="1440"/>
                <w:tab w:val="left" w:pos="1800"/>
                <w:tab w:val="left" w:pos="2160"/>
              </w:tabs>
              <w:jc w:val="center"/>
              <w:rPr>
                <w:sz w:val="24"/>
              </w:rPr>
            </w:pPr>
            <w:r>
              <w:rPr>
                <w:sz w:val="24"/>
              </w:rPr>
              <w:t>Basic Inspection and Maintenance Program</w:t>
            </w:r>
          </w:p>
        </w:tc>
      </w:tr>
      <w:tr w:rsidR="00000000">
        <w:tblPrEx>
          <w:tblCellMar>
            <w:top w:w="0" w:type="dxa"/>
            <w:bottom w:w="0" w:type="dxa"/>
          </w:tblCellMar>
        </w:tblPrEx>
        <w:trPr>
          <w:jc w:val="center"/>
        </w:trPr>
        <w:tc>
          <w:tcPr>
            <w:tcW w:w="4747" w:type="dxa"/>
          </w:tcPr>
          <w:p w:rsidR="00000000" w:rsidRDefault="00C40079">
            <w:pPr>
              <w:pStyle w:val="FootnoteText"/>
              <w:tabs>
                <w:tab w:val="left" w:pos="720"/>
                <w:tab w:val="left" w:pos="1080"/>
                <w:tab w:val="left" w:pos="1440"/>
                <w:tab w:val="left" w:pos="1800"/>
                <w:tab w:val="left" w:pos="2160"/>
              </w:tabs>
              <w:jc w:val="center"/>
              <w:rPr>
                <w:rFonts w:ascii="Times New Roman" w:hAnsi="Times New Roman"/>
                <w:b/>
                <w:sz w:val="24"/>
              </w:rPr>
            </w:pPr>
            <w:r>
              <w:rPr>
                <w:rFonts w:ascii="Times New Roman" w:hAnsi="Times New Roman"/>
                <w:b/>
                <w:sz w:val="24"/>
              </w:rPr>
              <w:t>Contingency Measure</w:t>
            </w:r>
          </w:p>
          <w:p w:rsidR="00000000" w:rsidRDefault="00C40079">
            <w:pPr>
              <w:pStyle w:val="FootnoteText"/>
              <w:tabs>
                <w:tab w:val="left" w:pos="720"/>
                <w:tab w:val="left" w:pos="1080"/>
                <w:tab w:val="left" w:pos="1440"/>
                <w:tab w:val="left" w:pos="1800"/>
                <w:tab w:val="left" w:pos="2160"/>
              </w:tabs>
              <w:jc w:val="center"/>
              <w:rPr>
                <w:rFonts w:ascii="Times New Roman" w:hAnsi="Times New Roman"/>
                <w:sz w:val="24"/>
              </w:rPr>
            </w:pPr>
            <w:r>
              <w:rPr>
                <w:rFonts w:ascii="Times New Roman" w:hAnsi="Times New Roman"/>
                <w:sz w:val="24"/>
              </w:rPr>
              <w:t>Enhanced Inspection and Maintenance Program</w:t>
            </w:r>
          </w:p>
        </w:tc>
        <w:tc>
          <w:tcPr>
            <w:tcW w:w="4876" w:type="dxa"/>
          </w:tcPr>
          <w:p w:rsidR="00000000" w:rsidRDefault="00C40079">
            <w:pPr>
              <w:pStyle w:val="FootnoteText"/>
              <w:tabs>
                <w:tab w:val="left" w:pos="720"/>
                <w:tab w:val="left" w:pos="1080"/>
                <w:tab w:val="left" w:pos="1440"/>
                <w:tab w:val="left" w:pos="1800"/>
                <w:tab w:val="left" w:pos="2160"/>
              </w:tabs>
              <w:jc w:val="center"/>
              <w:rPr>
                <w:rFonts w:ascii="Times New Roman" w:hAnsi="Times New Roman"/>
                <w:b/>
                <w:sz w:val="24"/>
              </w:rPr>
            </w:pPr>
            <w:r>
              <w:rPr>
                <w:rFonts w:ascii="Times New Roman" w:hAnsi="Times New Roman"/>
                <w:b/>
                <w:sz w:val="24"/>
              </w:rPr>
              <w:t>Contingency Measure</w:t>
            </w:r>
          </w:p>
          <w:p w:rsidR="00000000" w:rsidRDefault="00C40079">
            <w:pPr>
              <w:tabs>
                <w:tab w:val="left" w:pos="720"/>
                <w:tab w:val="left" w:pos="1080"/>
                <w:tab w:val="left" w:pos="1440"/>
                <w:tab w:val="left" w:pos="1800"/>
                <w:tab w:val="left" w:pos="2160"/>
              </w:tabs>
              <w:jc w:val="center"/>
              <w:rPr>
                <w:sz w:val="24"/>
              </w:rPr>
            </w:pPr>
            <w:r>
              <w:rPr>
                <w:sz w:val="24"/>
              </w:rPr>
              <w:t>Enhanced I</w:t>
            </w:r>
            <w:r>
              <w:rPr>
                <w:sz w:val="24"/>
              </w:rPr>
              <w:t>nspection and Maintenance Program</w:t>
            </w:r>
          </w:p>
        </w:tc>
      </w:tr>
      <w:tr w:rsidR="00000000">
        <w:tblPrEx>
          <w:tblCellMar>
            <w:top w:w="0" w:type="dxa"/>
            <w:bottom w:w="0" w:type="dxa"/>
          </w:tblCellMar>
        </w:tblPrEx>
        <w:trPr>
          <w:jc w:val="center"/>
        </w:trPr>
        <w:tc>
          <w:tcPr>
            <w:tcW w:w="4747" w:type="dxa"/>
          </w:tcPr>
          <w:p w:rsidR="00000000" w:rsidRDefault="00C40079">
            <w:pPr>
              <w:pStyle w:val="BodyText2"/>
              <w:tabs>
                <w:tab w:val="left" w:pos="720"/>
                <w:tab w:val="left" w:pos="1080"/>
                <w:tab w:val="left" w:pos="1440"/>
                <w:tab w:val="left" w:pos="1800"/>
                <w:tab w:val="left" w:pos="2160"/>
              </w:tabs>
            </w:pPr>
            <w:r>
              <w:t>Triggering Mechanism for Contingency Measure</w:t>
            </w:r>
          </w:p>
          <w:p w:rsidR="00000000" w:rsidRDefault="00C40079">
            <w:pPr>
              <w:pStyle w:val="FootnoteText"/>
              <w:tabs>
                <w:tab w:val="left" w:pos="720"/>
                <w:tab w:val="left" w:pos="1080"/>
                <w:tab w:val="left" w:pos="1440"/>
                <w:tab w:val="left" w:pos="1800"/>
                <w:tab w:val="left" w:pos="2160"/>
              </w:tabs>
              <w:jc w:val="center"/>
              <w:rPr>
                <w:rFonts w:ascii="Times New Roman" w:hAnsi="Times New Roman"/>
                <w:sz w:val="24"/>
              </w:rPr>
            </w:pPr>
            <w:r>
              <w:rPr>
                <w:rFonts w:ascii="Times New Roman" w:hAnsi="Times New Roman"/>
                <w:sz w:val="24"/>
              </w:rPr>
              <w:t>Contingency measure to be implemented as quickly as practicable</w:t>
            </w:r>
          </w:p>
        </w:tc>
        <w:tc>
          <w:tcPr>
            <w:tcW w:w="4876" w:type="dxa"/>
          </w:tcPr>
          <w:p w:rsidR="00000000" w:rsidRDefault="00C40079">
            <w:pPr>
              <w:pStyle w:val="BodyText2"/>
              <w:tabs>
                <w:tab w:val="left" w:pos="720"/>
                <w:tab w:val="left" w:pos="1080"/>
                <w:tab w:val="left" w:pos="1440"/>
                <w:tab w:val="left" w:pos="1800"/>
                <w:tab w:val="left" w:pos="2160"/>
              </w:tabs>
            </w:pPr>
            <w:r>
              <w:t>Triggering Mechanism for Contingency Measure</w:t>
            </w:r>
          </w:p>
          <w:p w:rsidR="00000000" w:rsidRDefault="00C40079">
            <w:pPr>
              <w:tabs>
                <w:tab w:val="left" w:pos="720"/>
                <w:tab w:val="left" w:pos="1080"/>
                <w:tab w:val="left" w:pos="1440"/>
                <w:tab w:val="left" w:pos="1800"/>
                <w:tab w:val="left" w:pos="2160"/>
              </w:tabs>
              <w:jc w:val="center"/>
              <w:rPr>
                <w:sz w:val="24"/>
              </w:rPr>
            </w:pPr>
            <w:r>
              <w:rPr>
                <w:sz w:val="24"/>
              </w:rPr>
              <w:t>Contingency measure to be implemented as quickly as practicable</w:t>
            </w:r>
          </w:p>
        </w:tc>
      </w:tr>
    </w:tbl>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E</w:t>
      </w:r>
      <w:r>
        <w:t>ach of these elements has been included in New Jersey’s Second Ten-Year Carbon Monoxide Limited Maintenance Plan for Camden County and the nine not-classified areas. This Limited Maintenance Plan consolidates Maintenance Plans for these 10 maintenance area</w:t>
      </w:r>
      <w:r>
        <w:t>s.</w:t>
      </w: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40"/>
        </w:numPr>
        <w:tabs>
          <w:tab w:val="clear" w:pos="360"/>
          <w:tab w:val="left" w:pos="720"/>
          <w:tab w:val="left" w:pos="1080"/>
          <w:tab w:val="left" w:pos="1440"/>
          <w:tab w:val="left" w:pos="1800"/>
          <w:tab w:val="left" w:pos="2160"/>
        </w:tabs>
        <w:ind w:left="2160" w:hanging="1080"/>
        <w:rPr>
          <w:b/>
        </w:rPr>
      </w:pPr>
      <w:bookmarkStart w:id="158" w:name="Att_Inv"/>
      <w:bookmarkStart w:id="159" w:name="_Hlt126641508"/>
      <w:bookmarkEnd w:id="159"/>
      <w:r>
        <w:rPr>
          <w:b/>
        </w:rPr>
        <w:t>Attainment Inventory</w:t>
      </w:r>
      <w:bookmarkEnd w:id="158"/>
      <w:r>
        <w:rPr>
          <w:b/>
        </w:rPr>
        <w:tab/>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USEPA’s Limited Maintenance Plan guidance requires states to develop an attainment emission inventory identifying a level of emissions sufficient to attain the NAAQS.  The inventory should represent “typical winter day” emiss</w:t>
      </w:r>
      <w:r>
        <w:t>ions during a time period coincident with monitored data showing attainment.  The USEPA required New Jersey to provide an attainment inventory (point, area, and mobile) for the periodic inventory year 2002.  Table XV provides a summary of the 2002 winterti</w:t>
      </w:r>
      <w:r>
        <w:t xml:space="preserve">me summary carbon monoxide emissions data for each sector for each county included in one of the ten maintenance areas.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New Jersey’s carbon monoxide attainment inventory was submitted to the USEPA on September 29, 1995 (1990 base year carbon monoxide em</w:t>
      </w:r>
      <w:r>
        <w:t>ission inventory).</w:t>
      </w:r>
      <w:r>
        <w:rPr>
          <w:rStyle w:val="FootnoteReference"/>
          <w:sz w:val="20"/>
          <w:vertAlign w:val="superscript"/>
        </w:rPr>
        <w:footnoteReference w:id="53"/>
      </w:r>
      <w:r>
        <w:t xml:space="preserve">  Given the amount of time that has passed since the submittal of New Jersey’s carbon monoxide attainment inventory, New Jersey thought it more appropriate to submit our most recent carbon monoxide inventory values (proposed 2002 invento</w:t>
      </w:r>
      <w:r>
        <w:t xml:space="preserve">ry) for the purposes of the Limited Maintenance Plan. Since 2002 is a calendar year that had monitoring data that demonstrates attainment, no projection inventories are required over the years of the maintenance period.  A summary of the wintertime carbon </w:t>
      </w:r>
      <w:r>
        <w:t xml:space="preserve">monoxide emissions, as required by the USEPA, has been provided in this submittal.  In addition, the State’s entire 2002 base year inventory, which outlines the method and calculation </w:t>
      </w:r>
      <w:r>
        <w:lastRenderedPageBreak/>
        <w:t>used to develop the carbon monoxide wintertime inventory, is proposed in</w:t>
      </w:r>
      <w:r>
        <w:t xml:space="preserve"> this submittal.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County level data was used because:</w:t>
      </w: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56"/>
        </w:numPr>
        <w:tabs>
          <w:tab w:val="clear" w:pos="360"/>
          <w:tab w:val="left" w:pos="720"/>
          <w:tab w:val="left" w:pos="1080"/>
          <w:tab w:val="left" w:pos="1440"/>
          <w:tab w:val="left" w:pos="1800"/>
          <w:tab w:val="left" w:pos="2160"/>
        </w:tabs>
        <w:ind w:left="720"/>
      </w:pPr>
      <w:r>
        <w:t>Estimating emissions from areas smaller than counties would not be statistically significant.</w:t>
      </w:r>
    </w:p>
    <w:p w:rsidR="00000000" w:rsidRDefault="00C40079">
      <w:pPr>
        <w:pStyle w:val="Level2"/>
        <w:numPr>
          <w:ilvl w:val="0"/>
          <w:numId w:val="56"/>
        </w:numPr>
        <w:tabs>
          <w:tab w:val="clear" w:pos="360"/>
          <w:tab w:val="left" w:pos="720"/>
          <w:tab w:val="left" w:pos="1080"/>
          <w:tab w:val="left" w:pos="1440"/>
          <w:tab w:val="left" w:pos="1800"/>
          <w:tab w:val="left" w:pos="2160"/>
        </w:tabs>
        <w:ind w:left="720"/>
      </w:pPr>
      <w:r>
        <w:t>Much of the activity data upon which the area source and nonroad mobile source inventory estimates are bas</w:t>
      </w:r>
      <w:r>
        <w:t xml:space="preserve">ed were developed at the county-level.  Therefore, some proportional adjustment factor would need to be applied to the county-level total emissions for those sectors to represent the selected municipalities.  </w:t>
      </w:r>
    </w:p>
    <w:p w:rsidR="00000000" w:rsidRDefault="00C40079">
      <w:pPr>
        <w:pStyle w:val="Level2"/>
        <w:numPr>
          <w:ilvl w:val="0"/>
          <w:numId w:val="56"/>
        </w:numPr>
        <w:tabs>
          <w:tab w:val="clear" w:pos="360"/>
          <w:tab w:val="left" w:pos="720"/>
          <w:tab w:val="left" w:pos="1080"/>
          <w:tab w:val="left" w:pos="1440"/>
          <w:tab w:val="left" w:pos="1800"/>
          <w:tab w:val="left" w:pos="2160"/>
        </w:tabs>
        <w:ind w:left="720"/>
      </w:pPr>
      <w:r>
        <w:t>The vehicle miles traveled estimates used to d</w:t>
      </w:r>
      <w:r>
        <w:t>evelop the onroad mobile source inventory would require similar adjustments.  These adjustments would necessarily be based on population or economic statistical data and, as such, would simply represent a proportion of the county-level estimate rather than</w:t>
      </w:r>
      <w:r>
        <w:t xml:space="preserve"> specific municipality data.  </w:t>
      </w:r>
    </w:p>
    <w:p w:rsidR="00000000" w:rsidRDefault="00C40079">
      <w:pPr>
        <w:pStyle w:val="Level2"/>
        <w:numPr>
          <w:ilvl w:val="0"/>
          <w:numId w:val="56"/>
        </w:numPr>
        <w:tabs>
          <w:tab w:val="clear" w:pos="360"/>
          <w:tab w:val="left" w:pos="720"/>
          <w:tab w:val="left" w:pos="1080"/>
          <w:tab w:val="left" w:pos="1440"/>
          <w:tab w:val="left" w:pos="1800"/>
          <w:tab w:val="left" w:pos="2160"/>
        </w:tabs>
        <w:ind w:left="720"/>
      </w:pPr>
      <w:r>
        <w:t xml:space="preserve">All growth and control factors applied to develop the future year inventories are estimated on a county-wide basis.  Therefore, the same proportional change in emissions would be applied to estimate the projected future year </w:t>
      </w:r>
      <w:r>
        <w:t>inventories regardless of the assumptions used to represent the attainment year base case.</w:t>
      </w:r>
    </w:p>
    <w:p w:rsidR="00000000" w:rsidRDefault="00C40079">
      <w:pPr>
        <w:pStyle w:val="Level2"/>
        <w:tabs>
          <w:tab w:val="left" w:pos="720"/>
          <w:tab w:val="left" w:pos="1080"/>
          <w:tab w:val="left" w:pos="1440"/>
          <w:tab w:val="left" w:pos="1800"/>
          <w:tab w:val="left" w:pos="2160"/>
        </w:tabs>
        <w:ind w:firstLine="720"/>
      </w:pPr>
    </w:p>
    <w:p w:rsidR="00000000" w:rsidRDefault="00C40079">
      <w:pPr>
        <w:pStyle w:val="Level2"/>
        <w:tabs>
          <w:tab w:val="left" w:pos="720"/>
          <w:tab w:val="left" w:pos="1080"/>
          <w:tab w:val="left" w:pos="1440"/>
          <w:tab w:val="left" w:pos="1800"/>
          <w:tab w:val="left" w:pos="2160"/>
        </w:tabs>
        <w:rPr>
          <w:b/>
        </w:rPr>
      </w:pPr>
      <w:r>
        <w:t>The maintenance areas are then totaled (partial counties are included as full counties for summary purposes).  Please note that these numbers are part of the New Je</w:t>
      </w:r>
      <w:r>
        <w:t>rsey’s 2002 Periodic Emission Inventory, which is proposed elsewhere as a part of this SIP revision.  Details on how the wintertime carbon monoxide numbers for each sector were developed are outlined in the State’s proposed inventory submittal.</w:t>
      </w:r>
      <w:r>
        <w:cr/>
      </w:r>
      <w:bookmarkStart w:id="160" w:name="Table_XV"/>
      <w:bookmarkStart w:id="161" w:name="_Hlt126636111"/>
      <w:bookmarkEnd w:id="161"/>
      <w:r>
        <w:t xml:space="preserve">           </w:t>
      </w:r>
      <w:r>
        <w:t xml:space="preserve">                                                         </w:t>
      </w:r>
      <w:r>
        <w:rPr>
          <w:b/>
        </w:rPr>
        <w:t>Table XV</w:t>
      </w:r>
      <w:bookmarkEnd w:id="160"/>
      <w:r>
        <w:rPr>
          <w:b/>
        </w:rPr>
        <w:t xml:space="preserve"> </w:t>
      </w:r>
    </w:p>
    <w:p w:rsidR="00000000" w:rsidRDefault="00C40079">
      <w:pPr>
        <w:pStyle w:val="Level2"/>
        <w:tabs>
          <w:tab w:val="left" w:pos="720"/>
          <w:tab w:val="left" w:pos="1080"/>
          <w:tab w:val="left" w:pos="1440"/>
          <w:tab w:val="left" w:pos="1800"/>
          <w:tab w:val="left" w:pos="2160"/>
        </w:tabs>
        <w:jc w:val="center"/>
        <w:rPr>
          <w:b/>
        </w:rPr>
      </w:pPr>
      <w:r>
        <w:rPr>
          <w:b/>
        </w:rPr>
        <w:t>New Jersey Wintertime Carbon Monoxide Emissions for 2002</w:t>
      </w:r>
    </w:p>
    <w:p w:rsidR="00000000" w:rsidRDefault="00C40079">
      <w:pPr>
        <w:pStyle w:val="Level2"/>
        <w:tabs>
          <w:tab w:val="left" w:pos="720"/>
          <w:tab w:val="left" w:pos="1080"/>
          <w:tab w:val="left" w:pos="1440"/>
          <w:tab w:val="left" w:pos="1800"/>
          <w:tab w:val="left" w:pos="2160"/>
        </w:tabs>
        <w:jc w:val="center"/>
        <w:rPr>
          <w:b/>
        </w:rPr>
      </w:pPr>
      <w:r>
        <w:rPr>
          <w:b/>
        </w:rPr>
        <w:t>(tons per winter day)</w:t>
      </w:r>
    </w:p>
    <w:bookmarkStart w:id="162" w:name="_MON_1202024844"/>
    <w:bookmarkStart w:id="163" w:name="_MON_1202024875"/>
    <w:bookmarkStart w:id="164" w:name="_MON_1202025303"/>
    <w:bookmarkStart w:id="165" w:name="_MON_1202025537"/>
    <w:bookmarkStart w:id="166" w:name="_MON_1202025598"/>
    <w:bookmarkStart w:id="167" w:name="_MON_1202025622"/>
    <w:bookmarkStart w:id="168" w:name="_MON_1202025674"/>
    <w:bookmarkEnd w:id="162"/>
    <w:bookmarkEnd w:id="163"/>
    <w:bookmarkEnd w:id="164"/>
    <w:bookmarkEnd w:id="165"/>
    <w:bookmarkEnd w:id="166"/>
    <w:bookmarkEnd w:id="167"/>
    <w:bookmarkEnd w:id="168"/>
    <w:p w:rsidR="00000000" w:rsidRDefault="00C40079">
      <w:pPr>
        <w:pStyle w:val="Level2"/>
        <w:tabs>
          <w:tab w:val="left" w:pos="720"/>
          <w:tab w:val="left" w:pos="1080"/>
          <w:tab w:val="left" w:pos="1440"/>
          <w:tab w:val="left" w:pos="1800"/>
          <w:tab w:val="left" w:pos="2160"/>
        </w:tabs>
        <w:jc w:val="center"/>
        <w:rPr>
          <w:b/>
        </w:rPr>
      </w:pPr>
      <w:r>
        <w:rPr>
          <w:noProof/>
        </w:rPr>
        <w:object w:dxaOrig="9199" w:dyaOrig="5258">
          <v:shape id="_x0000_i1027" type="#_x0000_t75" style="width:483.75pt;height:255pt" o:ole="" fillcolor="window">
            <v:imagedata r:id="rId42" o:title=""/>
          </v:shape>
          <o:OLEObject Type="Embed" ProgID="Excel.Sheet.8" ShapeID="_x0000_i1027" DrawAspect="Content" ObjectID="_1667111045" r:id="rId43"/>
        </w:object>
      </w: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40"/>
        </w:numPr>
        <w:tabs>
          <w:tab w:val="clear" w:pos="360"/>
          <w:tab w:val="left" w:pos="720"/>
          <w:tab w:val="left" w:pos="1080"/>
          <w:tab w:val="left" w:pos="1440"/>
          <w:tab w:val="left" w:pos="1800"/>
          <w:tab w:val="left" w:pos="2160"/>
        </w:tabs>
        <w:ind w:left="2160" w:hanging="1080"/>
        <w:rPr>
          <w:b/>
        </w:rPr>
      </w:pPr>
      <w:bookmarkStart w:id="169" w:name="Maint_Demo"/>
      <w:bookmarkStart w:id="170" w:name="_Hlt126641512"/>
      <w:bookmarkEnd w:id="170"/>
      <w:r>
        <w:rPr>
          <w:b/>
        </w:rPr>
        <w:t>Maintenance Demonstration</w:t>
      </w:r>
      <w:bookmarkEnd w:id="169"/>
      <w:r>
        <w:rPr>
          <w:b/>
        </w:rPr>
        <w:tab/>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1995 USEPA guidance document</w:t>
      </w:r>
      <w:r>
        <w:rPr>
          <w:rStyle w:val="FootnoteReference"/>
          <w:rFonts w:ascii="Times New (W1)" w:hAnsi="Times New (W1)"/>
          <w:vertAlign w:val="superscript"/>
        </w:rPr>
        <w:footnoteReference w:id="54"/>
      </w:r>
      <w:r>
        <w:t xml:space="preserve"> states that the main</w:t>
      </w:r>
      <w:r>
        <w:t>tenance demonstration requirement is considered to be satisfied if the monitoring data show that the area is meeting the air quality criteria for limited maintenance areas (7.65 parts per million or 85 percent of the carbon monoxide NAAQS).  Emission proje</w:t>
      </w:r>
      <w:r>
        <w:t>ctions for the maintenance period are not required.  According to the guidance document, the USEPA believes that if an area begins a maintenance period at or below 85 percent of the exceedance levels, then the continued applicability of Prevention of Signi</w:t>
      </w:r>
      <w:r>
        <w:t xml:space="preserve">ficant Deterioration  requirements, any control measure already in the SIP, and federal measures should provide adequate assurance of maintenance over the second ten-year maintenance period.  </w:t>
      </w:r>
    </w:p>
    <w:p w:rsidR="00000000" w:rsidRDefault="00C40079">
      <w:pPr>
        <w:pStyle w:val="Level2"/>
        <w:tabs>
          <w:tab w:val="left" w:pos="720"/>
          <w:tab w:val="left" w:pos="1080"/>
          <w:tab w:val="left" w:pos="1440"/>
          <w:tab w:val="left" w:pos="1800"/>
          <w:tab w:val="left" w:pos="2160"/>
        </w:tabs>
        <w:ind w:firstLine="720"/>
      </w:pPr>
    </w:p>
    <w:p w:rsidR="00000000" w:rsidRDefault="00C40079">
      <w:pPr>
        <w:pStyle w:val="Level2"/>
        <w:tabs>
          <w:tab w:val="left" w:pos="720"/>
          <w:tab w:val="left" w:pos="1080"/>
          <w:tab w:val="left" w:pos="1440"/>
          <w:tab w:val="left" w:pos="1800"/>
          <w:tab w:val="left" w:pos="2160"/>
        </w:tabs>
      </w:pPr>
      <w:r>
        <w:t xml:space="preserve">Table XIII shows that all of the design values are well below </w:t>
      </w:r>
      <w:r>
        <w:t>7.65 parts per million.  As such, New Jersey is not required to include emission projections in the Limited Maintenance Plan.  New Jersey commits to continued implementation of its Prevention of Significant Deterioration program and all other federal and s</w:t>
      </w:r>
      <w:r>
        <w:t>tate measures already implemented as part of the carbon monoxide SIP.</w:t>
      </w: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40"/>
        </w:numPr>
        <w:tabs>
          <w:tab w:val="clear" w:pos="360"/>
          <w:tab w:val="left" w:pos="720"/>
          <w:tab w:val="left" w:pos="1080"/>
          <w:tab w:val="left" w:pos="1440"/>
          <w:tab w:val="left" w:pos="1800"/>
          <w:tab w:val="left" w:pos="2160"/>
        </w:tabs>
        <w:ind w:left="2160" w:hanging="1080"/>
        <w:rPr>
          <w:b/>
        </w:rPr>
      </w:pPr>
      <w:bookmarkStart w:id="171" w:name="Monitoring_Network"/>
      <w:bookmarkStart w:id="172" w:name="_Hlt126641517"/>
      <w:bookmarkEnd w:id="172"/>
      <w:r>
        <w:rPr>
          <w:b/>
        </w:rPr>
        <w:t>Monitoring Network</w:t>
      </w:r>
      <w:bookmarkEnd w:id="171"/>
      <w:r>
        <w:rPr>
          <w:b/>
        </w:rPr>
        <w:tab/>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To verify that carbon monoxide maintenance areas remain in attainment over the maintenance period, New Jersey will continue to operate an appropriate air monitoring</w:t>
      </w:r>
      <w:r>
        <w:t xml:space="preserve"> network.  New Jersey’s current carbon monoxide monitoring network is shown in Figure V.  The air monitoring results will detect any changes in the ambient air quality, as well as assist the State in determining whether or not it is necessary to implement </w:t>
      </w:r>
      <w:r>
        <w:t>any contingency measures.  The State will continue to work with the USEPA through the air monitoring network review process, as required by 40 CFR Part 58, to determine:</w:t>
      </w: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44"/>
        </w:numPr>
        <w:tabs>
          <w:tab w:val="clear" w:pos="360"/>
          <w:tab w:val="left" w:pos="720"/>
          <w:tab w:val="left" w:pos="1080"/>
          <w:tab w:val="left" w:pos="1440"/>
          <w:tab w:val="left" w:pos="1800"/>
          <w:tab w:val="left" w:pos="2160"/>
        </w:tabs>
        <w:ind w:left="720"/>
      </w:pPr>
      <w:r>
        <w:t>The adequacy of the carbon monoxide monitoring network;</w:t>
      </w:r>
    </w:p>
    <w:p w:rsidR="00000000" w:rsidRDefault="00C40079">
      <w:pPr>
        <w:pStyle w:val="Level2"/>
        <w:numPr>
          <w:ilvl w:val="0"/>
          <w:numId w:val="44"/>
        </w:numPr>
        <w:tabs>
          <w:tab w:val="clear" w:pos="360"/>
          <w:tab w:val="left" w:pos="720"/>
          <w:tab w:val="left" w:pos="1080"/>
          <w:tab w:val="left" w:pos="1440"/>
          <w:tab w:val="left" w:pos="1800"/>
          <w:tab w:val="left" w:pos="2160"/>
        </w:tabs>
        <w:ind w:left="720"/>
      </w:pPr>
      <w:r>
        <w:t>If additional monitoring is n</w:t>
      </w:r>
      <w:r>
        <w:t xml:space="preserve">eeded; and, </w:t>
      </w:r>
    </w:p>
    <w:p w:rsidR="00000000" w:rsidRDefault="00C40079">
      <w:pPr>
        <w:pStyle w:val="Level2"/>
        <w:numPr>
          <w:ilvl w:val="0"/>
          <w:numId w:val="44"/>
        </w:numPr>
        <w:tabs>
          <w:tab w:val="clear" w:pos="360"/>
          <w:tab w:val="left" w:pos="720"/>
          <w:tab w:val="left" w:pos="1080"/>
          <w:tab w:val="left" w:pos="1440"/>
          <w:tab w:val="left" w:pos="1800"/>
          <w:tab w:val="left" w:pos="2160"/>
        </w:tabs>
        <w:ind w:left="720"/>
      </w:pPr>
      <w:r>
        <w:t xml:space="preserve">When monitoring can be discontinued.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These determinations must be consistent with the section 105 air grant process.</w:t>
      </w:r>
      <w:r>
        <w:rPr>
          <w:rStyle w:val="FootnoteReference"/>
          <w:sz w:val="20"/>
          <w:vertAlign w:val="superscript"/>
        </w:rPr>
        <w:footnoteReference w:id="55"/>
      </w:r>
      <w:r>
        <w:t xml:space="preserve">  Air monitoring data will continue to be quality assured according to the requirements in the USEPA regulations.</w:t>
      </w:r>
      <w:r>
        <w:rPr>
          <w:rStyle w:val="FootnoteReference"/>
          <w:sz w:val="20"/>
          <w:vertAlign w:val="superscript"/>
        </w:rPr>
        <w:footnoteReference w:id="56"/>
      </w: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40"/>
        </w:numPr>
        <w:tabs>
          <w:tab w:val="clear" w:pos="360"/>
          <w:tab w:val="left" w:pos="720"/>
          <w:tab w:val="left" w:pos="1080"/>
          <w:tab w:val="left" w:pos="1440"/>
          <w:tab w:val="left" w:pos="1800"/>
          <w:tab w:val="left" w:pos="2160"/>
        </w:tabs>
        <w:ind w:left="2160" w:hanging="1080"/>
        <w:rPr>
          <w:b/>
        </w:rPr>
      </w:pPr>
      <w:bookmarkStart w:id="173" w:name="Verif_Cont_Att"/>
      <w:bookmarkStart w:id="174" w:name="_Hlt126641525"/>
      <w:bookmarkEnd w:id="174"/>
      <w:r>
        <w:rPr>
          <w:b/>
        </w:rPr>
        <w:t>Verific</w:t>
      </w:r>
      <w:r>
        <w:rPr>
          <w:b/>
        </w:rPr>
        <w:t>ation of Continued Attainment</w:t>
      </w:r>
      <w:bookmarkEnd w:id="173"/>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To track the progress of the maintenance plan, the State will review the carbon monoxide concentrations from its monitoring sites each year.  If design values in any maintenance area exceed 7.65 parts per million (the eligibi</w:t>
      </w:r>
      <w:r>
        <w:t xml:space="preserve">lity requirement for Limited Maintenance Plan areas), </w:t>
      </w:r>
    </w:p>
    <w:p w:rsidR="00000000" w:rsidRDefault="00C40079">
      <w:pPr>
        <w:pStyle w:val="Level2"/>
        <w:tabs>
          <w:tab w:val="left" w:pos="720"/>
          <w:tab w:val="left" w:pos="1080"/>
          <w:tab w:val="left" w:pos="1440"/>
          <w:tab w:val="left" w:pos="1800"/>
          <w:tab w:val="left" w:pos="2160"/>
        </w:tabs>
      </w:pPr>
      <w:r>
        <w:br w:type="page"/>
      </w:r>
      <w:bookmarkStart w:id="175" w:name="Figure_V"/>
      <w:bookmarkStart w:id="176" w:name="_Hlt126642169"/>
      <w:bookmarkEnd w:id="176"/>
      <w:r>
        <w:rPr>
          <w:noProof/>
        </w:rPr>
        <w:lastRenderedPageBreak/>
        <w:pict>
          <v:shape id="_x0000_s1057" type="#_x0000_t202" style="position:absolute;margin-left:57.6pt;margin-top:-21.6pt;width:388.8pt;height:64.8pt;z-index:2;mso-position-horizontal:absolute;mso-position-horizontal-relative:text;mso-position-vertical:absolute;mso-position-vertical-relative:text" o:allowincell="f" filled="f" stroked="f">
            <v:textbox style="mso-next-textbox:#_x0000_s1057">
              <w:txbxContent>
                <w:p w:rsidR="00000000" w:rsidRDefault="00C40079">
                  <w:pPr>
                    <w:jc w:val="center"/>
                    <w:rPr>
                      <w:b/>
                      <w:sz w:val="28"/>
                    </w:rPr>
                  </w:pPr>
                  <w:r>
                    <w:rPr>
                      <w:b/>
                      <w:sz w:val="28"/>
                    </w:rPr>
                    <w:t>Figure</w:t>
                  </w:r>
                  <w:r>
                    <w:rPr>
                      <w:b/>
                      <w:sz w:val="28"/>
                    </w:rPr>
                    <w:t xml:space="preserve"> V</w:t>
                  </w:r>
                </w:p>
                <w:p w:rsidR="00000000" w:rsidRDefault="00C40079">
                  <w:pPr>
                    <w:jc w:val="center"/>
                    <w:rPr>
                      <w:b/>
                      <w:sz w:val="28"/>
                    </w:rPr>
                  </w:pPr>
                  <w:r>
                    <w:rPr>
                      <w:b/>
                      <w:sz w:val="28"/>
                    </w:rPr>
                    <w:t>New Jersey Carbon Monoxide Monitoring Network (2004)</w:t>
                  </w:r>
                </w:p>
                <w:p w:rsidR="00000000" w:rsidRDefault="00C40079"/>
              </w:txbxContent>
            </v:textbox>
          </v:shape>
        </w:pict>
      </w:r>
      <w:bookmarkStart w:id="177" w:name="_MON_1196674562"/>
      <w:bookmarkStart w:id="178" w:name="_MON_1196674590"/>
      <w:bookmarkStart w:id="179" w:name="_MON_1198621744"/>
      <w:bookmarkEnd w:id="177"/>
      <w:bookmarkEnd w:id="178"/>
      <w:bookmarkEnd w:id="179"/>
      <w:r>
        <w:object w:dxaOrig="8601" w:dyaOrig="11521">
          <v:shape id="_x0000_i1028" type="#_x0000_t75" style="width:429.75pt;height:8in" o:ole="" fillcolor="window">
            <v:imagedata r:id="rId44" o:title=""/>
          </v:shape>
          <o:OLEObject Type="Embed" ProgID="Word.Picture.8" ShapeID="_x0000_i1028" DrawAspect="Content" ObjectID="_1667111046" r:id="rId45"/>
        </w:object>
      </w:r>
      <w:bookmarkEnd w:id="175"/>
      <w:r>
        <w:br w:type="page"/>
      </w:r>
      <w:r>
        <w:lastRenderedPageBreak/>
        <w:t xml:space="preserve"> the NJDEP will coordinate with USEPA Region II to:</w:t>
      </w: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46"/>
        </w:numPr>
        <w:tabs>
          <w:tab w:val="clear" w:pos="360"/>
          <w:tab w:val="left" w:pos="720"/>
          <w:tab w:val="left" w:pos="1080"/>
          <w:tab w:val="left" w:pos="1440"/>
          <w:tab w:val="left" w:pos="1800"/>
          <w:tab w:val="left" w:pos="2160"/>
        </w:tabs>
        <w:ind w:left="720"/>
      </w:pPr>
      <w:r>
        <w:t xml:space="preserve">Verify the validity of the data; </w:t>
      </w:r>
    </w:p>
    <w:p w:rsidR="00000000" w:rsidRDefault="00C40079">
      <w:pPr>
        <w:pStyle w:val="Level2"/>
        <w:numPr>
          <w:ilvl w:val="0"/>
          <w:numId w:val="46"/>
        </w:numPr>
        <w:tabs>
          <w:tab w:val="clear" w:pos="360"/>
          <w:tab w:val="left" w:pos="720"/>
          <w:tab w:val="left" w:pos="1080"/>
          <w:tab w:val="left" w:pos="1440"/>
          <w:tab w:val="left" w:pos="1800"/>
          <w:tab w:val="left" w:pos="2160"/>
        </w:tabs>
        <w:ind w:left="720"/>
      </w:pPr>
      <w:r>
        <w:t>Evaluate whether the data should be excluded based on an “exceptional event”; and,</w:t>
      </w:r>
    </w:p>
    <w:p w:rsidR="00000000" w:rsidRDefault="00C40079">
      <w:pPr>
        <w:pStyle w:val="Level2"/>
        <w:numPr>
          <w:ilvl w:val="0"/>
          <w:numId w:val="46"/>
        </w:numPr>
        <w:tabs>
          <w:tab w:val="clear" w:pos="360"/>
          <w:tab w:val="left" w:pos="720"/>
          <w:tab w:val="left" w:pos="1080"/>
          <w:tab w:val="left" w:pos="1440"/>
          <w:tab w:val="left" w:pos="1800"/>
          <w:tab w:val="left" w:pos="2160"/>
        </w:tabs>
        <w:ind w:left="720"/>
      </w:pPr>
      <w:r>
        <w:t>I</w:t>
      </w:r>
      <w:r>
        <w:t>f warranted based on the data review, develop a full maintenance plan for the affected maintenance area(s), if deemed necessary.</w:t>
      </w: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45"/>
        </w:numPr>
        <w:tabs>
          <w:tab w:val="clear" w:pos="360"/>
          <w:tab w:val="left" w:pos="720"/>
          <w:tab w:val="left" w:pos="1080"/>
          <w:tab w:val="left" w:pos="1440"/>
          <w:tab w:val="left" w:pos="1800"/>
          <w:tab w:val="left" w:pos="2160"/>
        </w:tabs>
        <w:ind w:left="2160" w:hanging="1080"/>
        <w:rPr>
          <w:b/>
        </w:rPr>
      </w:pPr>
      <w:bookmarkStart w:id="180" w:name="Contingency_Plan"/>
      <w:bookmarkStart w:id="181" w:name="_Hlt126641533"/>
      <w:bookmarkEnd w:id="181"/>
      <w:r>
        <w:rPr>
          <w:b/>
        </w:rPr>
        <w:t>Contingency Plan</w:t>
      </w:r>
      <w:bookmarkEnd w:id="180"/>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42 U.S.C. §7505a(d) requires that maintenance plans include contingency provisions.  The purpose of the cont</w:t>
      </w:r>
      <w:r>
        <w:t>ingency provisions is to assure that any violations of the NAAQS that occur after the redesignation of an area to attainment will be corrected promptly.</w:t>
      </w:r>
      <w:r>
        <w:rPr>
          <w:rStyle w:val="FootnoteReference"/>
          <w:sz w:val="20"/>
          <w:vertAlign w:val="superscript"/>
        </w:rPr>
        <w:footnoteReference w:id="57"/>
      </w:r>
      <w:r>
        <w:t xml:space="preserve">  The USEPA issued guidance describing the contents of the contingency plan.</w:t>
      </w:r>
      <w:r>
        <w:rPr>
          <w:rStyle w:val="FootnoteReference"/>
          <w:sz w:val="20"/>
          <w:vertAlign w:val="superscript"/>
        </w:rPr>
        <w:footnoteReference w:id="58"/>
      </w:r>
      <w:r>
        <w:t xml:space="preserve">  This guidance specifies </w:t>
      </w:r>
      <w:r>
        <w:t>that the contingency plan should clearly identify the measure(s) to be adopted, a schedule and procedure for adoption and implementation, and a specific time limit for action by the State.  The USEPA has also recommended that the State specify triggers tha</w:t>
      </w:r>
      <w:r>
        <w:t>t will be used to determine when the contingency measure(s) need to be implemented.  The triggers specified in the previous Maintenance Plan are included in this proposed Limited Maintenance Plan.</w:t>
      </w:r>
    </w:p>
    <w:p w:rsidR="00000000" w:rsidRDefault="00C40079">
      <w:pPr>
        <w:pStyle w:val="Level2"/>
        <w:tabs>
          <w:tab w:val="left" w:pos="720"/>
          <w:tab w:val="left" w:pos="1080"/>
          <w:tab w:val="left" w:pos="1440"/>
          <w:tab w:val="left" w:pos="1800"/>
          <w:tab w:val="left" w:pos="2160"/>
        </w:tabs>
        <w:ind w:left="360"/>
      </w:pPr>
    </w:p>
    <w:p w:rsidR="00000000" w:rsidRDefault="00C40079">
      <w:pPr>
        <w:pStyle w:val="Level2"/>
        <w:tabs>
          <w:tab w:val="left" w:pos="720"/>
          <w:tab w:val="left" w:pos="1080"/>
          <w:tab w:val="left" w:pos="1440"/>
          <w:tab w:val="left" w:pos="1800"/>
          <w:tab w:val="left" w:pos="2160"/>
        </w:tabs>
        <w:rPr>
          <w:u w:val="single"/>
        </w:rPr>
      </w:pPr>
      <w:r>
        <w:rPr>
          <w:u w:val="single"/>
        </w:rPr>
        <w:t>Contingency Measure Triggers</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If air quality monitoring da</w:t>
      </w:r>
      <w:r>
        <w:t>ta indicate that either of the carbon monoxide NAAQS were exceeded, New Jersey will first analyze available data regarding the air quality, meteorology, and related activities in the area to determine the cause of the violation.  After this analysis is com</w:t>
      </w:r>
      <w:r>
        <w:t xml:space="preserve">plete, if it is determined that the violation was caused by non-local motor vehicle usage (i.e., not due to a local traffic problem, a special event, or stationary sources, and not occurring during the same meteorological episode as the first exceedance), </w:t>
      </w:r>
      <w:r>
        <w:t>then the State will institute the contingency measures described in this SIP revision.</w:t>
      </w:r>
    </w:p>
    <w:p w:rsidR="00000000" w:rsidRDefault="00C40079">
      <w:pPr>
        <w:pStyle w:val="Level2"/>
        <w:tabs>
          <w:tab w:val="left" w:pos="720"/>
          <w:tab w:val="left" w:pos="1080"/>
          <w:tab w:val="left" w:pos="1440"/>
          <w:tab w:val="left" w:pos="1800"/>
          <w:tab w:val="left" w:pos="2160"/>
        </w:tabs>
        <w:ind w:firstLine="720"/>
      </w:pPr>
    </w:p>
    <w:p w:rsidR="00000000" w:rsidRDefault="00C40079">
      <w:pPr>
        <w:pStyle w:val="Level2"/>
        <w:tabs>
          <w:tab w:val="left" w:pos="720"/>
          <w:tab w:val="left" w:pos="1080"/>
          <w:tab w:val="left" w:pos="1440"/>
          <w:tab w:val="left" w:pos="1800"/>
          <w:tab w:val="left" w:pos="2160"/>
        </w:tabs>
        <w:rPr>
          <w:u w:val="single"/>
        </w:rPr>
      </w:pPr>
      <w:r>
        <w:rPr>
          <w:u w:val="single"/>
        </w:rPr>
        <w:t>Contingency Measures and Timeframes</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42 U.S.C. §7505a(d) requires that, at a minimum, a contingency plan include reinstatement of all measures that were contained in th</w:t>
      </w:r>
      <w:r>
        <w:t>e SIP before redesignation of the area as an attainment area.  Table XIV outlines the contingency measures from the original maintenance plan for the area.   The plans included implementation of an enhanced I/M program.  This program is fully operational a</w:t>
      </w:r>
      <w:r>
        <w:t>nd the State commits to continue to meet the performance standard for an enhanced I/M program in an effort to maintain the carbon monoxide NAAQS.</w:t>
      </w:r>
    </w:p>
    <w:p w:rsidR="00000000" w:rsidRDefault="00C40079">
      <w:pPr>
        <w:pStyle w:val="Level2"/>
        <w:tabs>
          <w:tab w:val="left" w:pos="720"/>
          <w:tab w:val="left" w:pos="1080"/>
          <w:tab w:val="left" w:pos="1440"/>
          <w:tab w:val="left" w:pos="1800"/>
          <w:tab w:val="left" w:pos="2160"/>
        </w:tabs>
        <w:ind w:firstLine="720"/>
      </w:pPr>
    </w:p>
    <w:p w:rsidR="00000000" w:rsidRDefault="00C40079">
      <w:pPr>
        <w:pStyle w:val="Level2"/>
        <w:tabs>
          <w:tab w:val="left" w:pos="720"/>
          <w:tab w:val="left" w:pos="1080"/>
          <w:tab w:val="left" w:pos="1440"/>
          <w:tab w:val="left" w:pos="1800"/>
          <w:tab w:val="left" w:pos="2160"/>
        </w:tabs>
        <w:ind w:firstLine="720"/>
      </w:pPr>
      <w:r>
        <w:t>The State continues to commit to implementing a program to reduce truck idling emissions.  If it becomes nece</w:t>
      </w:r>
      <w:r>
        <w:t>ssary to reduce carbon monoxide levels in the future, New Jersey will work with the local Metropolitan Planning Organizations to implement transportation control measures such as Transportation Demand Management measures, arterial and signal improvement pr</w:t>
      </w:r>
      <w:r>
        <w:t xml:space="preserve">ojects, bicycle projects, and various transit related projects.  Since the </w:t>
      </w:r>
      <w:r>
        <w:lastRenderedPageBreak/>
        <w:t>implementation of potential contingency measures would not be expected to take place until well in the future, providing the specific details of the measures is not practicable.  Th</w:t>
      </w:r>
      <w:r>
        <w:t>e most appropriate contingency measures may be significantly different from the measures mentioned above due to technological, societal, economic, and political factors that are impossible to predict.</w:t>
      </w: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45"/>
        </w:numPr>
        <w:tabs>
          <w:tab w:val="left" w:pos="720"/>
          <w:tab w:val="left" w:pos="1080"/>
          <w:tab w:val="left" w:pos="1440"/>
          <w:tab w:val="left" w:pos="1800"/>
          <w:tab w:val="left" w:pos="2160"/>
        </w:tabs>
        <w:ind w:left="2160" w:hanging="1080"/>
        <w:rPr>
          <w:b/>
        </w:rPr>
      </w:pPr>
      <w:bookmarkStart w:id="182" w:name="CO_TC"/>
      <w:bookmarkStart w:id="183" w:name="_Hlt126641544"/>
      <w:bookmarkEnd w:id="183"/>
      <w:r>
        <w:rPr>
          <w:b/>
        </w:rPr>
        <w:t>Transportation Conformity</w:t>
      </w:r>
      <w:bookmarkEnd w:id="182"/>
      <w:r>
        <w:rPr>
          <w:b/>
        </w:rPr>
        <w:tab/>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According to the 1995 USEP</w:t>
      </w:r>
      <w:r>
        <w:t>A guidance document for Limited Maintenance Plans</w:t>
      </w:r>
      <w:r>
        <w:rPr>
          <w:rStyle w:val="FootnoteReference"/>
          <w:rFonts w:ascii="Times New (W1)" w:hAnsi="Times New (W1)"/>
          <w:vertAlign w:val="superscript"/>
        </w:rPr>
        <w:footnoteReference w:id="59"/>
      </w:r>
      <w:r>
        <w:t>, the Transportation Conformity Rule and the General Conformity Rule apply to nonattainment areas and maintenance areas operating under maintenance plans.</w:t>
      </w:r>
      <w:r>
        <w:rPr>
          <w:rStyle w:val="FootnoteReference"/>
          <w:sz w:val="20"/>
          <w:vertAlign w:val="superscript"/>
        </w:rPr>
        <w:footnoteReference w:id="60"/>
      </w:r>
      <w:r>
        <w:rPr>
          <w:sz w:val="20"/>
          <w:vertAlign w:val="superscript"/>
        </w:rPr>
        <w:t>,</w:t>
      </w:r>
      <w:r>
        <w:rPr>
          <w:rStyle w:val="FootnoteReference"/>
          <w:sz w:val="20"/>
          <w:vertAlign w:val="superscript"/>
        </w:rPr>
        <w:footnoteReference w:id="61"/>
      </w:r>
      <w:r>
        <w:t xml:space="preserve">  The guidance document also states that emission</w:t>
      </w:r>
      <w:r>
        <w:t xml:space="preserve"> budgets in Limited Maintenance Plan areas may be treated as not constraining for the length of the initial maintenance period because it is unreasonable to expect that such an area would experience so much growth in that period that a violation of the car</w:t>
      </w:r>
      <w:r>
        <w:t>bon monoxide NAAQS would result.  New Jersey’s consolidated Limited Maintenance Plan covers the second maintenance periods for two of New Jersey’s carbon monoxide maintenance areas.  According to correspondence from USEPA Region II, a budget test (outlined</w:t>
      </w:r>
      <w:r>
        <w:t xml:space="preserve"> in the Transportation Conformity Rule) is not required for limited maintenance plans.  The NJDEP will comply with the requirement to conduct a project-level carbon monoxide evaluation of transportation projects (project-level conformity).</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Consistent with</w:t>
      </w:r>
      <w:r>
        <w:t xml:space="preserve"> the discussion, the NJDEP will use the interagency consultation process to: </w:t>
      </w: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59"/>
        </w:numPr>
        <w:tabs>
          <w:tab w:val="clear" w:pos="360"/>
          <w:tab w:val="left" w:pos="720"/>
          <w:tab w:val="left" w:pos="1080"/>
          <w:tab w:val="left" w:pos="1440"/>
          <w:tab w:val="left" w:pos="1800"/>
          <w:tab w:val="left" w:pos="2160"/>
        </w:tabs>
        <w:ind w:left="720"/>
      </w:pPr>
      <w:r>
        <w:t>Inform the New Jersey Department of Transportation and Metropolitan Planning Organizations that, upon approval of the limited maintenance plans, carbon monoxide emission budgets</w:t>
      </w:r>
      <w:r>
        <w:t xml:space="preserve"> will no longer be constraining for transportation conformity because of the low levels of emissions and expected growth rates during the duration of the limited maintenance periods.  Once the Limited Maintenance Plan is approved, regional transportation c</w:t>
      </w:r>
      <w:r>
        <w:t xml:space="preserve">onformity is presumed to be satisfied, with no need for quantitative comparisons to budgets for the second ten-year maintenance periods.  </w:t>
      </w:r>
    </w:p>
    <w:p w:rsidR="00000000" w:rsidRDefault="00C40079">
      <w:pPr>
        <w:pStyle w:val="Level2"/>
        <w:numPr>
          <w:ilvl w:val="0"/>
          <w:numId w:val="59"/>
        </w:numPr>
        <w:tabs>
          <w:tab w:val="left" w:pos="720"/>
          <w:tab w:val="left" w:pos="1080"/>
          <w:tab w:val="left" w:pos="1440"/>
          <w:tab w:val="left" w:pos="1800"/>
          <w:tab w:val="left" w:pos="2160"/>
        </w:tabs>
        <w:ind w:left="720"/>
      </w:pPr>
      <w:r>
        <w:t xml:space="preserve">Ensure that project-level carbon monoxide evaluations of transportation projects (i.e., project-level conformity, as </w:t>
      </w:r>
      <w:r>
        <w:t>described in 40 CFR 93.116) are carried out in each area as part of environmental reviews.</w:t>
      </w:r>
      <w:r>
        <w:rPr>
          <w:rStyle w:val="FootnoteReference"/>
          <w:sz w:val="20"/>
          <w:vertAlign w:val="superscript"/>
        </w:rPr>
        <w:footnoteReference w:id="62"/>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A transportation conformity budget is still required for the Northeastern New Jersey carbon monoxide maintenance area, and as such, a revised budget is being propo</w:t>
      </w:r>
      <w:r>
        <w:t>sed as part of this submittal.</w:t>
      </w:r>
      <w:r>
        <w:br w:type="page"/>
      </w:r>
    </w:p>
    <w:p w:rsidR="00000000" w:rsidRDefault="00C40079">
      <w:pPr>
        <w:pStyle w:val="Heading2"/>
        <w:numPr>
          <w:ilvl w:val="0"/>
          <w:numId w:val="38"/>
        </w:numPr>
        <w:tabs>
          <w:tab w:val="clear" w:pos="8640"/>
          <w:tab w:val="left" w:pos="720"/>
          <w:tab w:val="left" w:pos="1080"/>
          <w:tab w:val="left" w:pos="1440"/>
          <w:tab w:val="left" w:pos="1800"/>
          <w:tab w:val="left" w:pos="2160"/>
        </w:tabs>
        <w:ind w:left="0" w:firstLine="0"/>
        <w:jc w:val="left"/>
        <w:rPr>
          <w:b/>
        </w:rPr>
      </w:pPr>
      <w:bookmarkStart w:id="184" w:name="Emission_Inv"/>
      <w:bookmarkStart w:id="185" w:name="_Hlt126641550"/>
      <w:bookmarkEnd w:id="185"/>
      <w:r>
        <w:rPr>
          <w:b/>
        </w:rPr>
        <w:t>2002 Periodic Emission Inventory</w:t>
      </w:r>
      <w:bookmarkEnd w:id="184"/>
    </w:p>
    <w:p w:rsidR="00000000" w:rsidRDefault="00C40079">
      <w:pPr>
        <w:pStyle w:val="Level2"/>
        <w:widowControl/>
        <w:tabs>
          <w:tab w:val="left" w:pos="720"/>
          <w:tab w:val="left" w:pos="1080"/>
          <w:tab w:val="left" w:pos="1440"/>
          <w:tab w:val="left" w:pos="1800"/>
          <w:tab w:val="left" w:pos="2160"/>
        </w:tabs>
      </w:pPr>
    </w:p>
    <w:p w:rsidR="00000000" w:rsidRDefault="00C40079">
      <w:pPr>
        <w:pStyle w:val="Heading5"/>
        <w:numPr>
          <w:ilvl w:val="0"/>
          <w:numId w:val="49"/>
        </w:numPr>
        <w:tabs>
          <w:tab w:val="clear" w:pos="360"/>
          <w:tab w:val="left" w:pos="720"/>
          <w:tab w:val="left" w:pos="1080"/>
          <w:tab w:val="left" w:pos="1800"/>
          <w:tab w:val="left" w:pos="2160"/>
        </w:tabs>
        <w:ind w:left="720" w:firstLine="0"/>
        <w:rPr>
          <w:b/>
        </w:rPr>
      </w:pPr>
      <w:bookmarkStart w:id="186" w:name="Background4"/>
      <w:bookmarkStart w:id="187" w:name="_Hlt126636869"/>
      <w:bookmarkEnd w:id="187"/>
      <w:r>
        <w:rPr>
          <w:b/>
        </w:rPr>
        <w:t>Background</w:t>
      </w:r>
      <w:bookmarkEnd w:id="186"/>
    </w:p>
    <w:p w:rsidR="00000000" w:rsidRDefault="00C40079">
      <w:pPr>
        <w:tabs>
          <w:tab w:val="left" w:pos="720"/>
          <w:tab w:val="left" w:pos="1080"/>
          <w:tab w:val="left" w:pos="1440"/>
          <w:tab w:val="left" w:pos="1800"/>
          <w:tab w:val="left" w:pos="2160"/>
        </w:tabs>
        <w:rPr>
          <w:sz w:val="24"/>
        </w:rPr>
      </w:pPr>
    </w:p>
    <w:p w:rsidR="00000000" w:rsidRDefault="00C40079">
      <w:pPr>
        <w:pStyle w:val="Heading5"/>
        <w:numPr>
          <w:ilvl w:val="0"/>
          <w:numId w:val="50"/>
        </w:numPr>
        <w:tabs>
          <w:tab w:val="clear" w:pos="360"/>
          <w:tab w:val="left" w:pos="720"/>
          <w:tab w:val="left" w:pos="1080"/>
          <w:tab w:val="left" w:pos="1440"/>
          <w:tab w:val="left" w:pos="1800"/>
        </w:tabs>
        <w:ind w:left="1080" w:firstLine="0"/>
        <w:rPr>
          <w:b/>
        </w:rPr>
      </w:pPr>
      <w:bookmarkStart w:id="188" w:name="Stat_Reg_Background"/>
      <w:bookmarkStart w:id="189" w:name="_Hlt126641558"/>
      <w:bookmarkEnd w:id="189"/>
      <w:r>
        <w:rPr>
          <w:b/>
        </w:rPr>
        <w:t>Statutory and Regulatory Background</w:t>
      </w:r>
      <w:bookmarkEnd w:id="188"/>
    </w:p>
    <w:p w:rsidR="00000000" w:rsidRDefault="00C40079">
      <w:pPr>
        <w:tabs>
          <w:tab w:val="left" w:pos="720"/>
          <w:tab w:val="left" w:pos="1080"/>
          <w:tab w:val="left" w:pos="1440"/>
          <w:tab w:val="left" w:pos="1800"/>
          <w:tab w:val="left" w:pos="2160"/>
        </w:tabs>
        <w:rPr>
          <w:sz w:val="24"/>
        </w:rPr>
      </w:pPr>
    </w:p>
    <w:p w:rsidR="00000000" w:rsidRDefault="00C40079">
      <w:pPr>
        <w:tabs>
          <w:tab w:val="left" w:pos="720"/>
          <w:tab w:val="left" w:pos="1080"/>
          <w:tab w:val="left" w:pos="1440"/>
          <w:tab w:val="left" w:pos="1800"/>
          <w:tab w:val="left" w:pos="2160"/>
        </w:tabs>
        <w:rPr>
          <w:sz w:val="24"/>
        </w:rPr>
      </w:pPr>
      <w:r>
        <w:rPr>
          <w:sz w:val="24"/>
        </w:rPr>
        <w:t>42 U.S.C. §7410 (a)(2)(F) requires the submission by states to the USEPA of periodic reports on the nature and amounts of emissions and emiss</w:t>
      </w:r>
      <w:r>
        <w:rPr>
          <w:sz w:val="24"/>
        </w:rPr>
        <w:t>ions related data. For example, 42 U.S.C. §7511a.(a)(3)(A) required states to submit an emission inventory every three years for 1-hour ozone nonattainment areas beginning in 1993.  The inventories are required to include all ozone precursors including VOC</w:t>
      </w:r>
      <w:r>
        <w:rPr>
          <w:sz w:val="24"/>
        </w:rPr>
        <w:t>s, NO</w:t>
      </w:r>
      <w:r>
        <w:rPr>
          <w:sz w:val="24"/>
          <w:vertAlign w:val="subscript"/>
        </w:rPr>
        <w:t>x</w:t>
      </w:r>
      <w:r>
        <w:rPr>
          <w:sz w:val="24"/>
        </w:rPr>
        <w:t>, and carbon monoxide.  Similarly, 42 U.S.C. §7512a.(a)(5) required States to submit an inventory every three years for carbon monoxide nonattainment areas for the same source classes as ozone, except biogenic sources. As part of the NO</w:t>
      </w:r>
      <w:r>
        <w:rPr>
          <w:sz w:val="24"/>
          <w:vertAlign w:val="subscript"/>
        </w:rPr>
        <w:t xml:space="preserve">x  </w:t>
      </w:r>
      <w:r>
        <w:rPr>
          <w:sz w:val="24"/>
        </w:rPr>
        <w:t>SIP Call Ru</w:t>
      </w:r>
      <w:r>
        <w:rPr>
          <w:sz w:val="24"/>
        </w:rPr>
        <w:t xml:space="preserve">le (40 CFR 51.121), the USEPA established emissions reporting requirements to be included in the SIPs submitted by the affected states. </w:t>
      </w:r>
    </w:p>
    <w:p w:rsidR="00000000" w:rsidRDefault="00C40079">
      <w:pPr>
        <w:tabs>
          <w:tab w:val="left" w:pos="720"/>
          <w:tab w:val="left" w:pos="1080"/>
          <w:tab w:val="left" w:pos="1440"/>
          <w:tab w:val="left" w:pos="1800"/>
          <w:tab w:val="left" w:pos="2160"/>
        </w:tabs>
        <w:rPr>
          <w:sz w:val="24"/>
        </w:rPr>
      </w:pPr>
    </w:p>
    <w:p w:rsidR="00000000" w:rsidRDefault="00C40079">
      <w:pPr>
        <w:tabs>
          <w:tab w:val="left" w:pos="720"/>
          <w:tab w:val="left" w:pos="1080"/>
          <w:tab w:val="left" w:pos="1440"/>
          <w:tab w:val="left" w:pos="1800"/>
          <w:tab w:val="left" w:pos="2160"/>
        </w:tabs>
        <w:rPr>
          <w:sz w:val="24"/>
        </w:rPr>
      </w:pPr>
      <w:r>
        <w:rPr>
          <w:sz w:val="24"/>
        </w:rPr>
        <w:t>In 2002, the USEPA promulgated the Consolidated Emission Reporting Rule, 40 CFR Part 51, Subpart A, that</w:t>
      </w:r>
    </w:p>
    <w:p w:rsidR="00000000" w:rsidRDefault="00C40079">
      <w:pPr>
        <w:tabs>
          <w:tab w:val="left" w:pos="720"/>
          <w:tab w:val="left" w:pos="1080"/>
          <w:tab w:val="left" w:pos="1440"/>
          <w:tab w:val="left" w:pos="1800"/>
          <w:tab w:val="left" w:pos="2160"/>
        </w:tabs>
        <w:rPr>
          <w:sz w:val="24"/>
        </w:rPr>
      </w:pPr>
    </w:p>
    <w:p w:rsidR="00000000" w:rsidRDefault="00C40079">
      <w:pPr>
        <w:numPr>
          <w:ilvl w:val="0"/>
          <w:numId w:val="51"/>
        </w:numPr>
        <w:tabs>
          <w:tab w:val="clear" w:pos="360"/>
          <w:tab w:val="left" w:pos="720"/>
          <w:tab w:val="left" w:pos="1080"/>
          <w:tab w:val="left" w:pos="1440"/>
          <w:tab w:val="left" w:pos="1800"/>
          <w:tab w:val="left" w:pos="2160"/>
        </w:tabs>
        <w:ind w:left="720" w:firstLine="0"/>
        <w:rPr>
          <w:sz w:val="24"/>
        </w:rPr>
      </w:pPr>
      <w:r>
        <w:rPr>
          <w:sz w:val="24"/>
        </w:rPr>
        <w:t>Consolidated</w:t>
      </w:r>
      <w:r>
        <w:rPr>
          <w:sz w:val="24"/>
        </w:rPr>
        <w:t xml:space="preserve"> the various emissions reporting requirements that already existed;</w:t>
      </w:r>
    </w:p>
    <w:p w:rsidR="00000000" w:rsidRDefault="00C40079">
      <w:pPr>
        <w:numPr>
          <w:ilvl w:val="0"/>
          <w:numId w:val="51"/>
        </w:numPr>
        <w:tabs>
          <w:tab w:val="clear" w:pos="360"/>
          <w:tab w:val="left" w:pos="1080"/>
          <w:tab w:val="left" w:pos="1440"/>
          <w:tab w:val="left" w:pos="1800"/>
          <w:tab w:val="left" w:pos="2160"/>
        </w:tabs>
        <w:ind w:left="1080"/>
        <w:rPr>
          <w:sz w:val="24"/>
        </w:rPr>
      </w:pPr>
      <w:r>
        <w:rPr>
          <w:sz w:val="24"/>
        </w:rPr>
        <w:t>Established new reporting requirements related to PM</w:t>
      </w:r>
      <w:r>
        <w:rPr>
          <w:sz w:val="24"/>
          <w:vertAlign w:val="subscript"/>
        </w:rPr>
        <w:t>2.5</w:t>
      </w:r>
      <w:r>
        <w:rPr>
          <w:sz w:val="24"/>
        </w:rPr>
        <w:t>, its precursors (NH</w:t>
      </w:r>
      <w:r>
        <w:rPr>
          <w:sz w:val="24"/>
          <w:vertAlign w:val="subscript"/>
        </w:rPr>
        <w:t>3</w:t>
      </w:r>
      <w:r>
        <w:rPr>
          <w:sz w:val="24"/>
        </w:rPr>
        <w:t>, SO</w:t>
      </w:r>
      <w:r>
        <w:rPr>
          <w:sz w:val="24"/>
          <w:vertAlign w:val="subscript"/>
        </w:rPr>
        <w:t>x</w:t>
      </w:r>
      <w:r>
        <w:rPr>
          <w:sz w:val="24"/>
        </w:rPr>
        <w:t>, NO</w:t>
      </w:r>
      <w:r>
        <w:rPr>
          <w:sz w:val="24"/>
          <w:vertAlign w:val="subscript"/>
        </w:rPr>
        <w:t>x</w:t>
      </w:r>
      <w:r>
        <w:rPr>
          <w:sz w:val="24"/>
        </w:rPr>
        <w:t>, and VOC) and regional haze;</w:t>
      </w:r>
    </w:p>
    <w:p w:rsidR="00000000" w:rsidRDefault="00C40079">
      <w:pPr>
        <w:numPr>
          <w:ilvl w:val="0"/>
          <w:numId w:val="51"/>
        </w:numPr>
        <w:tabs>
          <w:tab w:val="clear" w:pos="360"/>
          <w:tab w:val="left" w:pos="1080"/>
          <w:tab w:val="left" w:pos="1440"/>
          <w:tab w:val="left" w:pos="1800"/>
          <w:tab w:val="left" w:pos="2160"/>
        </w:tabs>
        <w:ind w:left="1080"/>
        <w:rPr>
          <w:sz w:val="24"/>
        </w:rPr>
      </w:pPr>
      <w:r>
        <w:rPr>
          <w:sz w:val="24"/>
        </w:rPr>
        <w:t xml:space="preserve">Established new requirements for the statewide reporting of area source </w:t>
      </w:r>
      <w:r>
        <w:rPr>
          <w:sz w:val="24"/>
        </w:rPr>
        <w:t>and mobile source emissions; and,</w:t>
      </w:r>
    </w:p>
    <w:p w:rsidR="00000000" w:rsidRDefault="00C40079">
      <w:pPr>
        <w:numPr>
          <w:ilvl w:val="0"/>
          <w:numId w:val="51"/>
        </w:numPr>
        <w:tabs>
          <w:tab w:val="clear" w:pos="360"/>
          <w:tab w:val="left" w:pos="1080"/>
          <w:tab w:val="left" w:pos="1440"/>
          <w:tab w:val="left" w:pos="1800"/>
          <w:tab w:val="left" w:pos="2160"/>
        </w:tabs>
        <w:ind w:left="1080"/>
        <w:rPr>
          <w:sz w:val="24"/>
        </w:rPr>
      </w:pPr>
      <w:r>
        <w:rPr>
          <w:sz w:val="24"/>
        </w:rPr>
        <w:t>Required two types of inventories – annual inventories and three year cycle inventories.</w:t>
      </w:r>
    </w:p>
    <w:p w:rsidR="00000000" w:rsidRDefault="00C40079">
      <w:pPr>
        <w:pStyle w:val="Level2"/>
        <w:widowControl/>
        <w:tabs>
          <w:tab w:val="left" w:pos="720"/>
          <w:tab w:val="left" w:pos="1080"/>
          <w:tab w:val="left" w:pos="1440"/>
          <w:tab w:val="left" w:pos="1800"/>
          <w:tab w:val="left" w:pos="2160"/>
        </w:tabs>
      </w:pPr>
    </w:p>
    <w:p w:rsidR="00000000" w:rsidRDefault="00C40079">
      <w:pPr>
        <w:tabs>
          <w:tab w:val="left" w:pos="720"/>
          <w:tab w:val="left" w:pos="1080"/>
          <w:tab w:val="left" w:pos="1440"/>
          <w:tab w:val="left" w:pos="1800"/>
          <w:tab w:val="left" w:pos="2160"/>
        </w:tabs>
        <w:rPr>
          <w:sz w:val="24"/>
        </w:rPr>
      </w:pPr>
      <w:r>
        <w:rPr>
          <w:sz w:val="24"/>
        </w:rPr>
        <w:t>Figures VI and VII represent New Jersey’s nonattainment areas for 8-hour ozone and PM</w:t>
      </w:r>
      <w:r>
        <w:rPr>
          <w:sz w:val="24"/>
          <w:vertAlign w:val="subscript"/>
        </w:rPr>
        <w:t>2.5</w:t>
      </w:r>
      <w:r>
        <w:rPr>
          <w:sz w:val="24"/>
        </w:rPr>
        <w:t>, respectively, and Figure IV represents the</w:t>
      </w:r>
      <w:r>
        <w:rPr>
          <w:sz w:val="24"/>
        </w:rPr>
        <w:t xml:space="preserve"> maintenance areas for carbon monoxide. The 2002 periodic emission inventory is based on the 8-hour ozone standard (0.08 parts per million) as the 1-hour ozone standard (0.12 parts per million) was revoked by the USEPA on June 15, 2005.</w:t>
      </w:r>
      <w:r>
        <w:rPr>
          <w:rStyle w:val="FootnoteReference"/>
          <w:vertAlign w:val="superscript"/>
        </w:rPr>
        <w:footnoteReference w:id="63"/>
      </w:r>
    </w:p>
    <w:p w:rsidR="00000000" w:rsidRDefault="00C40079">
      <w:pPr>
        <w:tabs>
          <w:tab w:val="left" w:pos="720"/>
          <w:tab w:val="left" w:pos="1080"/>
          <w:tab w:val="left" w:pos="1440"/>
          <w:tab w:val="left" w:pos="1800"/>
          <w:tab w:val="left" w:pos="2160"/>
        </w:tabs>
        <w:rPr>
          <w:sz w:val="24"/>
        </w:rPr>
      </w:pPr>
    </w:p>
    <w:p w:rsidR="00000000" w:rsidRDefault="00C40079">
      <w:pPr>
        <w:pStyle w:val="FigureHeads"/>
        <w:numPr>
          <w:ilvl w:val="0"/>
          <w:numId w:val="50"/>
        </w:numPr>
        <w:tabs>
          <w:tab w:val="clear" w:pos="360"/>
          <w:tab w:val="left" w:pos="1440"/>
          <w:tab w:val="left" w:pos="1800"/>
        </w:tabs>
        <w:ind w:left="1080" w:firstLine="0"/>
        <w:jc w:val="left"/>
        <w:rPr>
          <w:snapToGrid/>
        </w:rPr>
      </w:pPr>
      <w:bookmarkStart w:id="190" w:name="Emission_Inv_Overview"/>
      <w:bookmarkStart w:id="191" w:name="_Hlt126641562"/>
      <w:bookmarkEnd w:id="191"/>
      <w:r>
        <w:rPr>
          <w:snapToGrid/>
        </w:rPr>
        <w:t>Emission Inventor</w:t>
      </w:r>
      <w:r>
        <w:rPr>
          <w:snapToGrid/>
        </w:rPr>
        <w:t>y Overview</w:t>
      </w:r>
      <w:bookmarkEnd w:id="190"/>
    </w:p>
    <w:p w:rsidR="00000000" w:rsidRDefault="00C40079">
      <w:pPr>
        <w:tabs>
          <w:tab w:val="left" w:pos="720"/>
          <w:tab w:val="left" w:pos="1080"/>
          <w:tab w:val="left" w:pos="1440"/>
          <w:tab w:val="left" w:pos="1800"/>
          <w:tab w:val="left" w:pos="2160"/>
        </w:tabs>
        <w:rPr>
          <w:sz w:val="24"/>
        </w:rPr>
      </w:pPr>
    </w:p>
    <w:p w:rsidR="00000000" w:rsidRDefault="00C40079">
      <w:pPr>
        <w:pStyle w:val="Level2"/>
        <w:widowControl/>
        <w:tabs>
          <w:tab w:val="left" w:pos="720"/>
          <w:tab w:val="left" w:pos="1080"/>
          <w:tab w:val="left" w:pos="1440"/>
          <w:tab w:val="left" w:pos="1800"/>
          <w:tab w:val="left" w:pos="2160"/>
        </w:tabs>
      </w:pPr>
      <w:r>
        <w:t>The 2002 Periodic Emission Inventory is a compilation of the emissions from sources of biogenic (natural) and anthropogenic (human-made) volatile organic chemical (VOC), oxides of nitrogen (NO</w:t>
      </w:r>
      <w:r>
        <w:rPr>
          <w:vertAlign w:val="subscript"/>
        </w:rPr>
        <w:t>x</w:t>
      </w:r>
      <w:r>
        <w:t>), carbon monoxide (CO), particulate matter less th</w:t>
      </w:r>
      <w:r>
        <w:t>an 10 micrometers in diameter (PM</w:t>
      </w:r>
      <w:r>
        <w:rPr>
          <w:vertAlign w:val="subscript"/>
        </w:rPr>
        <w:t>10</w:t>
      </w:r>
      <w:r>
        <w:t>), particulate matter five micrometers or less in diameter (PM</w:t>
      </w:r>
      <w:r>
        <w:rPr>
          <w:vertAlign w:val="subscript"/>
        </w:rPr>
        <w:t>2.5</w:t>
      </w:r>
      <w:r>
        <w:t>), sulfur dioxide (SO</w:t>
      </w:r>
      <w:r>
        <w:rPr>
          <w:vertAlign w:val="subscript"/>
        </w:rPr>
        <w:t>2</w:t>
      </w:r>
      <w:r>
        <w:t>), and ammonia (NH</w:t>
      </w:r>
      <w:r>
        <w:rPr>
          <w:vertAlign w:val="subscript"/>
        </w:rPr>
        <w:t>3</w:t>
      </w:r>
      <w:r>
        <w:t>) in the outdoor air.</w:t>
      </w:r>
      <w:r>
        <w:rPr>
          <w:rStyle w:val="FootnoteReference"/>
          <w:vertAlign w:val="superscript"/>
        </w:rPr>
        <w:footnoteReference w:id="64"/>
      </w:r>
      <w:r>
        <w:t xml:space="preserve">  The sources are divided into five sectors and each making up one component of the inventory</w:t>
      </w:r>
      <w:r>
        <w:t>: point sources, area (nonpoint) sources, onroad sources, nonroad sources, and biogenic sources.</w:t>
      </w:r>
      <w:r>
        <w:br w:type="page"/>
      </w:r>
    </w:p>
    <w:p w:rsidR="00000000" w:rsidRDefault="00C40079">
      <w:pPr>
        <w:pStyle w:val="Level2"/>
        <w:widowControl/>
        <w:tabs>
          <w:tab w:val="left" w:pos="720"/>
          <w:tab w:val="left" w:pos="1080"/>
          <w:tab w:val="left" w:pos="1440"/>
          <w:tab w:val="left" w:pos="1800"/>
          <w:tab w:val="left" w:pos="2160"/>
        </w:tabs>
        <w:jc w:val="center"/>
        <w:rPr>
          <w:b/>
          <w:sz w:val="28"/>
        </w:rPr>
      </w:pPr>
      <w:bookmarkStart w:id="192" w:name="Figure_VI"/>
      <w:bookmarkStart w:id="193" w:name="_Hlt126642174"/>
      <w:bookmarkEnd w:id="193"/>
      <w:r>
        <w:rPr>
          <w:b/>
          <w:sz w:val="28"/>
        </w:rPr>
        <w:t>Figure VI</w:t>
      </w:r>
      <w:bookmarkEnd w:id="192"/>
      <w:r>
        <w:rPr>
          <w:b/>
          <w:sz w:val="28"/>
        </w:rPr>
        <w:t xml:space="preserve"> </w:t>
      </w:r>
    </w:p>
    <w:p w:rsidR="00000000" w:rsidRDefault="00C40079">
      <w:pPr>
        <w:pStyle w:val="Level2"/>
        <w:widowControl/>
        <w:tabs>
          <w:tab w:val="left" w:pos="720"/>
          <w:tab w:val="left" w:pos="1080"/>
          <w:tab w:val="left" w:pos="1440"/>
          <w:tab w:val="left" w:pos="1800"/>
          <w:tab w:val="left" w:pos="2160"/>
        </w:tabs>
        <w:jc w:val="center"/>
        <w:rPr>
          <w:b/>
        </w:rPr>
      </w:pPr>
      <w:bookmarkStart w:id="194" w:name="_Hlt126633436"/>
      <w:bookmarkEnd w:id="194"/>
    </w:p>
    <w:p w:rsidR="00000000" w:rsidRDefault="00C40079">
      <w:pPr>
        <w:pStyle w:val="Level2"/>
        <w:widowControl/>
        <w:tabs>
          <w:tab w:val="left" w:pos="720"/>
          <w:tab w:val="left" w:pos="1080"/>
          <w:tab w:val="left" w:pos="1440"/>
          <w:tab w:val="left" w:pos="1800"/>
          <w:tab w:val="left" w:pos="2160"/>
        </w:tabs>
        <w:jc w:val="center"/>
        <w:rPr>
          <w:b/>
          <w:sz w:val="28"/>
        </w:rPr>
      </w:pPr>
      <w:r>
        <w:pict>
          <v:shape id="_x0000_s1090" type="#_x0000_t75" style="position:absolute;left:0;text-align:left;margin-left:0;margin-top:0;width:611.75pt;height:496.4pt;z-index:6;mso-position-horizontal:absolute;mso-position-horizontal-relative:text;mso-position-vertical:absolute;mso-position-vertical-relative:text" o:allowincell="f">
            <v:imagedata r:id="rId46" o:title=""/>
            <w10:wrap type="topAndBottom"/>
          </v:shape>
        </w:pict>
      </w:r>
      <w:r>
        <w:rPr>
          <w:b/>
        </w:rPr>
        <w:br w:type="page"/>
      </w:r>
      <w:bookmarkStart w:id="195" w:name="Figure_VII"/>
      <w:bookmarkStart w:id="196" w:name="_Hlt126642178"/>
      <w:bookmarkEnd w:id="196"/>
      <w:r>
        <w:rPr>
          <w:b/>
          <w:sz w:val="28"/>
        </w:rPr>
        <w:lastRenderedPageBreak/>
        <w:t>Figure VII</w:t>
      </w:r>
      <w:bookmarkEnd w:id="195"/>
    </w:p>
    <w:p w:rsidR="00000000" w:rsidRDefault="00C40079">
      <w:pPr>
        <w:pStyle w:val="Level2"/>
        <w:widowControl/>
        <w:tabs>
          <w:tab w:val="left" w:pos="720"/>
          <w:tab w:val="left" w:pos="1080"/>
          <w:tab w:val="left" w:pos="1440"/>
          <w:tab w:val="left" w:pos="1800"/>
          <w:tab w:val="left" w:pos="2160"/>
        </w:tabs>
        <w:jc w:val="center"/>
        <w:rPr>
          <w:b/>
          <w:sz w:val="28"/>
        </w:rPr>
      </w:pPr>
    </w:p>
    <w:p w:rsidR="00000000" w:rsidRDefault="00C40079">
      <w:pPr>
        <w:pStyle w:val="Level2"/>
        <w:widowControl/>
        <w:tabs>
          <w:tab w:val="left" w:pos="720"/>
          <w:tab w:val="left" w:pos="1080"/>
          <w:tab w:val="left" w:pos="1440"/>
          <w:tab w:val="left" w:pos="1800"/>
          <w:tab w:val="left" w:pos="2160"/>
        </w:tabs>
        <w:jc w:val="center"/>
        <w:rPr>
          <w:b/>
          <w:sz w:val="28"/>
        </w:rPr>
      </w:pPr>
      <w:r>
        <w:rPr>
          <w:b/>
          <w:noProof/>
          <w:sz w:val="28"/>
        </w:rPr>
        <w:pict>
          <v:shape id="_x0000_s1093" type="#_x0000_t75" style="position:absolute;left:0;text-align:left;margin-left:-64.8pt;margin-top:3.8pt;width:612pt;height:519pt;z-index:7;mso-position-horizontal:absolute;mso-position-horizontal-relative:text;mso-position-vertical:absolute;mso-position-vertical-relative:text" o:allowincell="f" fillcolor="#99f">
            <v:imagedata r:id="rId47" o:title=""/>
            <v:shadow color="#00007d"/>
          </v:shape>
        </w:pict>
      </w:r>
    </w:p>
    <w:p w:rsidR="00000000" w:rsidRDefault="00C40079">
      <w:pPr>
        <w:pStyle w:val="FigureHeads"/>
        <w:tabs>
          <w:tab w:val="left" w:pos="1080"/>
          <w:tab w:val="left" w:pos="1440"/>
          <w:tab w:val="left" w:pos="1800"/>
        </w:tabs>
        <w:jc w:val="left"/>
        <w:rPr>
          <w:snapToGrid/>
        </w:rPr>
      </w:pPr>
    </w:p>
    <w:p w:rsidR="00000000" w:rsidRDefault="00C40079">
      <w:pPr>
        <w:tabs>
          <w:tab w:val="left" w:pos="720"/>
          <w:tab w:val="left" w:pos="1080"/>
          <w:tab w:val="left" w:pos="1440"/>
          <w:tab w:val="left" w:pos="1800"/>
          <w:tab w:val="left" w:pos="2160"/>
        </w:tabs>
        <w:rPr>
          <w:sz w:val="24"/>
        </w:rPr>
      </w:pPr>
      <w:r>
        <w:br w:type="page"/>
      </w:r>
    </w:p>
    <w:p w:rsidR="00000000" w:rsidRDefault="00C40079">
      <w:pPr>
        <w:pStyle w:val="Level2"/>
        <w:widowControl/>
        <w:tabs>
          <w:tab w:val="left" w:pos="720"/>
          <w:tab w:val="left" w:pos="1080"/>
          <w:tab w:val="left" w:pos="1440"/>
          <w:tab w:val="left" w:pos="1800"/>
          <w:tab w:val="left" w:pos="2160"/>
        </w:tabs>
      </w:pPr>
      <w:r>
        <w:t>This report includes the 2002 periodic emission inventory for the parameter</w:t>
      </w:r>
      <w:r>
        <w:t>s listed in Table XVI. Appendix D contains a description of the 2002 periodic emission inventory and the methodologies used for collecting and calculating emission data for New Jersey for 2002.  This appendix also contains twenty-five (25) attachments that</w:t>
      </w:r>
      <w:r>
        <w:t xml:space="preserve"> provide supplemental information for evaluating the inventory. </w:t>
      </w:r>
    </w:p>
    <w:p w:rsidR="00000000" w:rsidRDefault="00C40079">
      <w:pPr>
        <w:tabs>
          <w:tab w:val="left" w:pos="720"/>
          <w:tab w:val="left" w:pos="1080"/>
          <w:tab w:val="left" w:pos="1440"/>
          <w:tab w:val="left" w:pos="1800"/>
          <w:tab w:val="left" w:pos="2160"/>
        </w:tabs>
        <w:rPr>
          <w:sz w:val="24"/>
        </w:rPr>
      </w:pPr>
    </w:p>
    <w:p w:rsidR="00000000" w:rsidRDefault="00C40079">
      <w:pPr>
        <w:pStyle w:val="Heading3"/>
        <w:tabs>
          <w:tab w:val="left" w:pos="720"/>
          <w:tab w:val="left" w:pos="1080"/>
          <w:tab w:val="left" w:pos="1440"/>
          <w:tab w:val="left" w:pos="1800"/>
          <w:tab w:val="left" w:pos="2160"/>
        </w:tabs>
      </w:pPr>
      <w:bookmarkStart w:id="197" w:name="Table_XVI"/>
      <w:bookmarkStart w:id="198" w:name="_Hlt126641943"/>
      <w:bookmarkEnd w:id="198"/>
      <w:r>
        <w:t>Table XV</w:t>
      </w:r>
      <w:bookmarkEnd w:id="197"/>
      <w:r>
        <w:t>I</w:t>
      </w:r>
    </w:p>
    <w:p w:rsidR="00000000" w:rsidRDefault="00C40079">
      <w:pPr>
        <w:pStyle w:val="Heading3"/>
        <w:tabs>
          <w:tab w:val="left" w:pos="720"/>
          <w:tab w:val="left" w:pos="1080"/>
          <w:tab w:val="left" w:pos="1440"/>
          <w:tab w:val="left" w:pos="1800"/>
          <w:tab w:val="left" w:pos="2160"/>
        </w:tabs>
      </w:pPr>
      <w:r>
        <w:t>2002 Inventories Prepared</w:t>
      </w:r>
    </w:p>
    <w:p w:rsidR="00000000" w:rsidRDefault="00C40079">
      <w:pPr>
        <w:pStyle w:val="Level2"/>
        <w:widowControl/>
        <w:tabs>
          <w:tab w:val="left" w:pos="720"/>
          <w:tab w:val="left" w:pos="1080"/>
          <w:tab w:val="left" w:pos="1440"/>
          <w:tab w:val="left" w:pos="1800"/>
          <w:tab w:val="left" w:pos="2160"/>
        </w:tabs>
      </w:pPr>
    </w:p>
    <w:tbl>
      <w:tblPr>
        <w:tblW w:w="0" w:type="auto"/>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AF" w:firstRow="1" w:lastRow="0" w:firstColumn="1" w:lastColumn="0" w:noHBand="0" w:noVBand="0"/>
      </w:tblPr>
      <w:tblGrid>
        <w:gridCol w:w="1089"/>
        <w:gridCol w:w="1350"/>
        <w:gridCol w:w="1350"/>
        <w:gridCol w:w="1391"/>
      </w:tblGrid>
      <w:tr w:rsidR="00000000">
        <w:tblPrEx>
          <w:tblCellMar>
            <w:top w:w="0" w:type="dxa"/>
            <w:bottom w:w="0" w:type="dxa"/>
          </w:tblCellMar>
        </w:tblPrEx>
        <w:trPr>
          <w:jc w:val="center"/>
        </w:trPr>
        <w:tc>
          <w:tcPr>
            <w:tcW w:w="1089" w:type="dxa"/>
            <w:tcBorders>
              <w:top w:val="single" w:sz="18" w:space="0" w:color="000000"/>
              <w:left w:val="single" w:sz="18" w:space="0" w:color="000000"/>
              <w:bottom w:val="nil"/>
              <w:right w:val="single" w:sz="18" w:space="0" w:color="000000"/>
            </w:tcBorders>
          </w:tcPr>
          <w:p w:rsidR="00000000" w:rsidRDefault="00C40079">
            <w:pPr>
              <w:tabs>
                <w:tab w:val="left" w:pos="360"/>
                <w:tab w:val="left" w:pos="720"/>
                <w:tab w:val="left" w:pos="1080"/>
                <w:tab w:val="left" w:pos="1440"/>
                <w:tab w:val="left" w:pos="1800"/>
                <w:tab w:val="left" w:pos="2160"/>
              </w:tabs>
              <w:rPr>
                <w:sz w:val="24"/>
              </w:rPr>
            </w:pPr>
          </w:p>
        </w:tc>
        <w:tc>
          <w:tcPr>
            <w:tcW w:w="1350" w:type="dxa"/>
            <w:tcBorders>
              <w:top w:val="single" w:sz="18" w:space="0" w:color="000000"/>
              <w:left w:val="nil"/>
              <w:bottom w:val="single" w:sz="18" w:space="0" w:color="000000"/>
            </w:tcBorders>
          </w:tcPr>
          <w:p w:rsidR="00000000" w:rsidRDefault="00C40079">
            <w:pPr>
              <w:tabs>
                <w:tab w:val="left" w:pos="360"/>
                <w:tab w:val="left" w:pos="720"/>
                <w:tab w:val="left" w:pos="1080"/>
                <w:tab w:val="left" w:pos="1440"/>
                <w:tab w:val="left" w:pos="1800"/>
                <w:tab w:val="left" w:pos="2160"/>
              </w:tabs>
              <w:jc w:val="center"/>
              <w:rPr>
                <w:rFonts w:ascii="Times New (W1)" w:hAnsi="Times New (W1)"/>
                <w:b/>
                <w:sz w:val="24"/>
                <w:vertAlign w:val="superscript"/>
              </w:rPr>
            </w:pPr>
            <w:r>
              <w:rPr>
                <w:b/>
                <w:sz w:val="24"/>
              </w:rPr>
              <w:t>Summer Day</w:t>
            </w:r>
            <w:r>
              <w:rPr>
                <w:rFonts w:ascii="Times New (W1)" w:hAnsi="Times New (W1)"/>
                <w:b/>
                <w:sz w:val="24"/>
                <w:vertAlign w:val="superscript"/>
              </w:rPr>
              <w:t>(1)</w:t>
            </w:r>
          </w:p>
        </w:tc>
        <w:tc>
          <w:tcPr>
            <w:tcW w:w="1350" w:type="dxa"/>
            <w:tcBorders>
              <w:top w:val="single" w:sz="18" w:space="0" w:color="000000"/>
              <w:bottom w:val="single" w:sz="18" w:space="0" w:color="000000"/>
            </w:tcBorders>
          </w:tcPr>
          <w:p w:rsidR="00000000" w:rsidRDefault="00C40079">
            <w:pPr>
              <w:tabs>
                <w:tab w:val="left" w:pos="360"/>
                <w:tab w:val="left" w:pos="720"/>
                <w:tab w:val="left" w:pos="1080"/>
                <w:tab w:val="left" w:pos="1440"/>
                <w:tab w:val="left" w:pos="1800"/>
                <w:tab w:val="left" w:pos="2160"/>
              </w:tabs>
              <w:jc w:val="center"/>
              <w:rPr>
                <w:b/>
                <w:sz w:val="24"/>
              </w:rPr>
            </w:pPr>
            <w:r>
              <w:rPr>
                <w:b/>
                <w:sz w:val="24"/>
              </w:rPr>
              <w:t>Winter Day</w:t>
            </w:r>
            <w:r>
              <w:rPr>
                <w:b/>
                <w:sz w:val="24"/>
                <w:vertAlign w:val="superscript"/>
              </w:rPr>
              <w:t>(2)</w:t>
            </w:r>
          </w:p>
        </w:tc>
        <w:tc>
          <w:tcPr>
            <w:tcW w:w="1391" w:type="dxa"/>
            <w:tcBorders>
              <w:top w:val="single" w:sz="18" w:space="0" w:color="000000"/>
              <w:bottom w:val="single" w:sz="18" w:space="0" w:color="000000"/>
              <w:right w:val="single" w:sz="18" w:space="0" w:color="000000"/>
            </w:tcBorders>
          </w:tcPr>
          <w:p w:rsidR="00000000" w:rsidRDefault="00C40079">
            <w:pPr>
              <w:tabs>
                <w:tab w:val="left" w:pos="360"/>
                <w:tab w:val="left" w:pos="720"/>
                <w:tab w:val="left" w:pos="1080"/>
                <w:tab w:val="left" w:pos="1440"/>
                <w:tab w:val="left" w:pos="1800"/>
                <w:tab w:val="left" w:pos="2160"/>
              </w:tabs>
              <w:jc w:val="center"/>
              <w:rPr>
                <w:b/>
                <w:sz w:val="24"/>
              </w:rPr>
            </w:pPr>
            <w:r>
              <w:rPr>
                <w:b/>
                <w:sz w:val="24"/>
              </w:rPr>
              <w:t>Annual Emissions</w:t>
            </w:r>
          </w:p>
        </w:tc>
      </w:tr>
      <w:tr w:rsidR="00000000">
        <w:tblPrEx>
          <w:tblCellMar>
            <w:top w:w="0" w:type="dxa"/>
            <w:bottom w:w="0" w:type="dxa"/>
          </w:tblCellMar>
        </w:tblPrEx>
        <w:trPr>
          <w:jc w:val="center"/>
        </w:trPr>
        <w:tc>
          <w:tcPr>
            <w:tcW w:w="1089" w:type="dxa"/>
            <w:tcBorders>
              <w:top w:val="single" w:sz="18" w:space="0" w:color="000000"/>
              <w:left w:val="single" w:sz="18" w:space="0" w:color="000000"/>
              <w:right w:val="single" w:sz="18" w:space="0" w:color="000000"/>
            </w:tcBorders>
          </w:tcPr>
          <w:p w:rsidR="00000000" w:rsidRDefault="00C40079">
            <w:pPr>
              <w:tabs>
                <w:tab w:val="left" w:pos="360"/>
                <w:tab w:val="left" w:pos="720"/>
                <w:tab w:val="left" w:pos="1080"/>
                <w:tab w:val="left" w:pos="1440"/>
                <w:tab w:val="left" w:pos="1800"/>
                <w:tab w:val="left" w:pos="2160"/>
              </w:tabs>
              <w:rPr>
                <w:b/>
                <w:sz w:val="24"/>
              </w:rPr>
            </w:pPr>
            <w:r>
              <w:rPr>
                <w:b/>
                <w:sz w:val="24"/>
              </w:rPr>
              <w:t>VOC</w:t>
            </w:r>
          </w:p>
        </w:tc>
        <w:tc>
          <w:tcPr>
            <w:tcW w:w="1350" w:type="dxa"/>
            <w:tcBorders>
              <w:top w:val="nil"/>
              <w:left w:val="nil"/>
            </w:tcBorders>
          </w:tcPr>
          <w:p w:rsidR="00000000" w:rsidRDefault="00C40079">
            <w:pPr>
              <w:tabs>
                <w:tab w:val="left" w:pos="360"/>
                <w:tab w:val="left" w:pos="720"/>
                <w:tab w:val="left" w:pos="1080"/>
                <w:tab w:val="left" w:pos="1440"/>
                <w:tab w:val="left" w:pos="1800"/>
                <w:tab w:val="left" w:pos="2160"/>
              </w:tabs>
              <w:jc w:val="center"/>
              <w:rPr>
                <w:sz w:val="24"/>
              </w:rPr>
            </w:pPr>
            <w:r>
              <w:rPr>
                <w:sz w:val="24"/>
              </w:rPr>
              <w:t>√</w:t>
            </w:r>
          </w:p>
        </w:tc>
        <w:tc>
          <w:tcPr>
            <w:tcW w:w="1350" w:type="dxa"/>
            <w:tcBorders>
              <w:top w:val="nil"/>
            </w:tcBorders>
          </w:tcPr>
          <w:p w:rsidR="00000000" w:rsidRDefault="00C40079">
            <w:pPr>
              <w:tabs>
                <w:tab w:val="left" w:pos="360"/>
                <w:tab w:val="left" w:pos="720"/>
                <w:tab w:val="left" w:pos="1080"/>
                <w:tab w:val="left" w:pos="1440"/>
                <w:tab w:val="left" w:pos="1800"/>
                <w:tab w:val="left" w:pos="2160"/>
              </w:tabs>
              <w:jc w:val="center"/>
              <w:rPr>
                <w:sz w:val="24"/>
              </w:rPr>
            </w:pPr>
          </w:p>
        </w:tc>
        <w:tc>
          <w:tcPr>
            <w:tcW w:w="1391" w:type="dxa"/>
            <w:tcBorders>
              <w:top w:val="nil"/>
              <w:right w:val="single" w:sz="18" w:space="0" w:color="000000"/>
            </w:tcBorders>
          </w:tcPr>
          <w:p w:rsidR="00000000" w:rsidRDefault="00C40079">
            <w:pPr>
              <w:tabs>
                <w:tab w:val="left" w:pos="360"/>
                <w:tab w:val="left" w:pos="720"/>
                <w:tab w:val="left" w:pos="1080"/>
                <w:tab w:val="left" w:pos="1440"/>
                <w:tab w:val="left" w:pos="1800"/>
                <w:tab w:val="left" w:pos="2160"/>
              </w:tabs>
              <w:jc w:val="center"/>
              <w:rPr>
                <w:sz w:val="24"/>
              </w:rPr>
            </w:pPr>
            <w:r>
              <w:rPr>
                <w:sz w:val="24"/>
              </w:rPr>
              <w:t>√</w:t>
            </w:r>
          </w:p>
        </w:tc>
      </w:tr>
      <w:tr w:rsidR="00000000">
        <w:tblPrEx>
          <w:tblCellMar>
            <w:top w:w="0" w:type="dxa"/>
            <w:bottom w:w="0" w:type="dxa"/>
          </w:tblCellMar>
        </w:tblPrEx>
        <w:trPr>
          <w:jc w:val="center"/>
        </w:trPr>
        <w:tc>
          <w:tcPr>
            <w:tcW w:w="1089" w:type="dxa"/>
            <w:tcBorders>
              <w:left w:val="single" w:sz="18" w:space="0" w:color="000000"/>
              <w:right w:val="single" w:sz="18" w:space="0" w:color="000000"/>
            </w:tcBorders>
          </w:tcPr>
          <w:p w:rsidR="00000000" w:rsidRDefault="00C40079">
            <w:pPr>
              <w:tabs>
                <w:tab w:val="left" w:pos="360"/>
                <w:tab w:val="left" w:pos="720"/>
                <w:tab w:val="left" w:pos="1080"/>
                <w:tab w:val="left" w:pos="1440"/>
                <w:tab w:val="left" w:pos="1800"/>
                <w:tab w:val="left" w:pos="2160"/>
              </w:tabs>
              <w:rPr>
                <w:b/>
                <w:sz w:val="24"/>
              </w:rPr>
            </w:pPr>
            <w:r>
              <w:rPr>
                <w:b/>
                <w:sz w:val="24"/>
              </w:rPr>
              <w:t>NO</w:t>
            </w:r>
            <w:r>
              <w:rPr>
                <w:b/>
                <w:sz w:val="24"/>
                <w:vertAlign w:val="subscript"/>
              </w:rPr>
              <w:t>x</w:t>
            </w:r>
          </w:p>
        </w:tc>
        <w:tc>
          <w:tcPr>
            <w:tcW w:w="1350" w:type="dxa"/>
            <w:tcBorders>
              <w:left w:val="nil"/>
            </w:tcBorders>
          </w:tcPr>
          <w:p w:rsidR="00000000" w:rsidRDefault="00C40079">
            <w:pPr>
              <w:tabs>
                <w:tab w:val="left" w:pos="360"/>
                <w:tab w:val="left" w:pos="720"/>
                <w:tab w:val="left" w:pos="1080"/>
                <w:tab w:val="left" w:pos="1440"/>
                <w:tab w:val="left" w:pos="1800"/>
                <w:tab w:val="left" w:pos="2160"/>
              </w:tabs>
              <w:jc w:val="center"/>
              <w:rPr>
                <w:sz w:val="24"/>
              </w:rPr>
            </w:pPr>
            <w:r>
              <w:rPr>
                <w:sz w:val="24"/>
              </w:rPr>
              <w:t>√</w:t>
            </w:r>
          </w:p>
        </w:tc>
        <w:tc>
          <w:tcPr>
            <w:tcW w:w="1350" w:type="dxa"/>
          </w:tcPr>
          <w:p w:rsidR="00000000" w:rsidRDefault="00C40079">
            <w:pPr>
              <w:tabs>
                <w:tab w:val="left" w:pos="360"/>
                <w:tab w:val="left" w:pos="720"/>
                <w:tab w:val="left" w:pos="1080"/>
                <w:tab w:val="left" w:pos="1440"/>
                <w:tab w:val="left" w:pos="1800"/>
                <w:tab w:val="left" w:pos="2160"/>
              </w:tabs>
              <w:jc w:val="center"/>
              <w:rPr>
                <w:sz w:val="24"/>
              </w:rPr>
            </w:pPr>
          </w:p>
        </w:tc>
        <w:tc>
          <w:tcPr>
            <w:tcW w:w="1391" w:type="dxa"/>
            <w:tcBorders>
              <w:right w:val="single" w:sz="18" w:space="0" w:color="000000"/>
            </w:tcBorders>
          </w:tcPr>
          <w:p w:rsidR="00000000" w:rsidRDefault="00C40079">
            <w:pPr>
              <w:tabs>
                <w:tab w:val="left" w:pos="360"/>
                <w:tab w:val="left" w:pos="720"/>
                <w:tab w:val="left" w:pos="1080"/>
                <w:tab w:val="left" w:pos="1440"/>
                <w:tab w:val="left" w:pos="1800"/>
                <w:tab w:val="left" w:pos="2160"/>
              </w:tabs>
              <w:jc w:val="center"/>
              <w:rPr>
                <w:sz w:val="24"/>
              </w:rPr>
            </w:pPr>
            <w:r>
              <w:rPr>
                <w:sz w:val="24"/>
              </w:rPr>
              <w:t>√</w:t>
            </w:r>
          </w:p>
        </w:tc>
      </w:tr>
      <w:tr w:rsidR="00000000">
        <w:tblPrEx>
          <w:tblCellMar>
            <w:top w:w="0" w:type="dxa"/>
            <w:bottom w:w="0" w:type="dxa"/>
          </w:tblCellMar>
        </w:tblPrEx>
        <w:trPr>
          <w:jc w:val="center"/>
        </w:trPr>
        <w:tc>
          <w:tcPr>
            <w:tcW w:w="1089" w:type="dxa"/>
            <w:tcBorders>
              <w:left w:val="single" w:sz="18" w:space="0" w:color="000000"/>
              <w:right w:val="single" w:sz="18" w:space="0" w:color="000000"/>
            </w:tcBorders>
          </w:tcPr>
          <w:p w:rsidR="00000000" w:rsidRDefault="00C40079">
            <w:pPr>
              <w:tabs>
                <w:tab w:val="left" w:pos="360"/>
                <w:tab w:val="left" w:pos="720"/>
                <w:tab w:val="left" w:pos="1080"/>
                <w:tab w:val="left" w:pos="1440"/>
                <w:tab w:val="left" w:pos="1800"/>
                <w:tab w:val="left" w:pos="2160"/>
              </w:tabs>
              <w:rPr>
                <w:b/>
                <w:sz w:val="24"/>
              </w:rPr>
            </w:pPr>
            <w:r>
              <w:rPr>
                <w:b/>
                <w:sz w:val="24"/>
              </w:rPr>
              <w:t>CO</w:t>
            </w:r>
          </w:p>
        </w:tc>
        <w:tc>
          <w:tcPr>
            <w:tcW w:w="1350" w:type="dxa"/>
            <w:tcBorders>
              <w:left w:val="nil"/>
            </w:tcBorders>
          </w:tcPr>
          <w:p w:rsidR="00000000" w:rsidRDefault="00C40079">
            <w:pPr>
              <w:tabs>
                <w:tab w:val="left" w:pos="360"/>
                <w:tab w:val="left" w:pos="720"/>
                <w:tab w:val="left" w:pos="1080"/>
                <w:tab w:val="left" w:pos="1440"/>
                <w:tab w:val="left" w:pos="1800"/>
                <w:tab w:val="left" w:pos="2160"/>
              </w:tabs>
              <w:jc w:val="center"/>
              <w:rPr>
                <w:sz w:val="24"/>
              </w:rPr>
            </w:pPr>
            <w:r>
              <w:rPr>
                <w:sz w:val="24"/>
              </w:rPr>
              <w:t>√</w:t>
            </w:r>
          </w:p>
        </w:tc>
        <w:tc>
          <w:tcPr>
            <w:tcW w:w="1350" w:type="dxa"/>
          </w:tcPr>
          <w:p w:rsidR="00000000" w:rsidRDefault="00C40079">
            <w:pPr>
              <w:tabs>
                <w:tab w:val="left" w:pos="360"/>
                <w:tab w:val="left" w:pos="720"/>
                <w:tab w:val="left" w:pos="1080"/>
                <w:tab w:val="left" w:pos="1440"/>
                <w:tab w:val="left" w:pos="1800"/>
                <w:tab w:val="left" w:pos="2160"/>
              </w:tabs>
              <w:jc w:val="center"/>
              <w:rPr>
                <w:sz w:val="24"/>
              </w:rPr>
            </w:pPr>
            <w:r>
              <w:rPr>
                <w:sz w:val="24"/>
              </w:rPr>
              <w:t>√</w:t>
            </w:r>
          </w:p>
        </w:tc>
        <w:tc>
          <w:tcPr>
            <w:tcW w:w="1391" w:type="dxa"/>
            <w:tcBorders>
              <w:right w:val="single" w:sz="18" w:space="0" w:color="000000"/>
            </w:tcBorders>
          </w:tcPr>
          <w:p w:rsidR="00000000" w:rsidRDefault="00C40079">
            <w:pPr>
              <w:tabs>
                <w:tab w:val="left" w:pos="360"/>
                <w:tab w:val="left" w:pos="720"/>
                <w:tab w:val="left" w:pos="1080"/>
                <w:tab w:val="left" w:pos="1440"/>
                <w:tab w:val="left" w:pos="1800"/>
                <w:tab w:val="left" w:pos="2160"/>
              </w:tabs>
              <w:jc w:val="center"/>
              <w:rPr>
                <w:sz w:val="24"/>
              </w:rPr>
            </w:pPr>
            <w:r>
              <w:rPr>
                <w:sz w:val="24"/>
              </w:rPr>
              <w:t>√</w:t>
            </w:r>
          </w:p>
        </w:tc>
      </w:tr>
      <w:tr w:rsidR="00000000">
        <w:tblPrEx>
          <w:tblCellMar>
            <w:top w:w="0" w:type="dxa"/>
            <w:bottom w:w="0" w:type="dxa"/>
          </w:tblCellMar>
        </w:tblPrEx>
        <w:trPr>
          <w:jc w:val="center"/>
        </w:trPr>
        <w:tc>
          <w:tcPr>
            <w:tcW w:w="1089" w:type="dxa"/>
            <w:tcBorders>
              <w:left w:val="single" w:sz="18" w:space="0" w:color="000000"/>
              <w:right w:val="single" w:sz="18" w:space="0" w:color="000000"/>
            </w:tcBorders>
          </w:tcPr>
          <w:p w:rsidR="00000000" w:rsidRDefault="00C40079">
            <w:pPr>
              <w:tabs>
                <w:tab w:val="left" w:pos="360"/>
                <w:tab w:val="left" w:pos="720"/>
                <w:tab w:val="left" w:pos="1080"/>
                <w:tab w:val="left" w:pos="1440"/>
                <w:tab w:val="left" w:pos="1800"/>
                <w:tab w:val="left" w:pos="2160"/>
              </w:tabs>
              <w:rPr>
                <w:b/>
                <w:sz w:val="24"/>
              </w:rPr>
            </w:pPr>
            <w:r>
              <w:rPr>
                <w:b/>
                <w:sz w:val="24"/>
              </w:rPr>
              <w:t>PM</w:t>
            </w:r>
            <w:r>
              <w:rPr>
                <w:b/>
                <w:sz w:val="24"/>
                <w:vertAlign w:val="subscript"/>
              </w:rPr>
              <w:t>10</w:t>
            </w:r>
          </w:p>
        </w:tc>
        <w:tc>
          <w:tcPr>
            <w:tcW w:w="1350" w:type="dxa"/>
            <w:tcBorders>
              <w:left w:val="nil"/>
            </w:tcBorders>
          </w:tcPr>
          <w:p w:rsidR="00000000" w:rsidRDefault="00C40079">
            <w:pPr>
              <w:tabs>
                <w:tab w:val="left" w:pos="360"/>
                <w:tab w:val="left" w:pos="720"/>
                <w:tab w:val="left" w:pos="1080"/>
                <w:tab w:val="left" w:pos="1440"/>
                <w:tab w:val="left" w:pos="1800"/>
                <w:tab w:val="left" w:pos="2160"/>
              </w:tabs>
              <w:jc w:val="center"/>
              <w:rPr>
                <w:sz w:val="24"/>
              </w:rPr>
            </w:pPr>
          </w:p>
        </w:tc>
        <w:tc>
          <w:tcPr>
            <w:tcW w:w="1350" w:type="dxa"/>
          </w:tcPr>
          <w:p w:rsidR="00000000" w:rsidRDefault="00C40079">
            <w:pPr>
              <w:tabs>
                <w:tab w:val="left" w:pos="360"/>
                <w:tab w:val="left" w:pos="720"/>
                <w:tab w:val="left" w:pos="1080"/>
                <w:tab w:val="left" w:pos="1440"/>
                <w:tab w:val="left" w:pos="1800"/>
                <w:tab w:val="left" w:pos="2160"/>
              </w:tabs>
              <w:jc w:val="center"/>
              <w:rPr>
                <w:sz w:val="24"/>
              </w:rPr>
            </w:pPr>
            <w:r>
              <w:rPr>
                <w:sz w:val="24"/>
              </w:rPr>
              <w:t>√</w:t>
            </w:r>
          </w:p>
        </w:tc>
        <w:tc>
          <w:tcPr>
            <w:tcW w:w="1391" w:type="dxa"/>
            <w:tcBorders>
              <w:right w:val="single" w:sz="18" w:space="0" w:color="000000"/>
            </w:tcBorders>
          </w:tcPr>
          <w:p w:rsidR="00000000" w:rsidRDefault="00C40079">
            <w:pPr>
              <w:tabs>
                <w:tab w:val="left" w:pos="360"/>
                <w:tab w:val="left" w:pos="720"/>
                <w:tab w:val="left" w:pos="1080"/>
                <w:tab w:val="left" w:pos="1440"/>
                <w:tab w:val="left" w:pos="1800"/>
                <w:tab w:val="left" w:pos="2160"/>
              </w:tabs>
              <w:jc w:val="center"/>
              <w:rPr>
                <w:sz w:val="24"/>
              </w:rPr>
            </w:pPr>
            <w:r>
              <w:rPr>
                <w:sz w:val="24"/>
              </w:rPr>
              <w:t>√</w:t>
            </w:r>
          </w:p>
        </w:tc>
      </w:tr>
      <w:tr w:rsidR="00000000">
        <w:tblPrEx>
          <w:tblCellMar>
            <w:top w:w="0" w:type="dxa"/>
            <w:bottom w:w="0" w:type="dxa"/>
          </w:tblCellMar>
        </w:tblPrEx>
        <w:trPr>
          <w:jc w:val="center"/>
        </w:trPr>
        <w:tc>
          <w:tcPr>
            <w:tcW w:w="1089" w:type="dxa"/>
            <w:tcBorders>
              <w:left w:val="single" w:sz="18" w:space="0" w:color="000000"/>
              <w:right w:val="single" w:sz="18" w:space="0" w:color="000000"/>
            </w:tcBorders>
          </w:tcPr>
          <w:p w:rsidR="00000000" w:rsidRDefault="00C40079">
            <w:pPr>
              <w:tabs>
                <w:tab w:val="left" w:pos="360"/>
                <w:tab w:val="left" w:pos="720"/>
                <w:tab w:val="left" w:pos="1080"/>
                <w:tab w:val="left" w:pos="1440"/>
                <w:tab w:val="left" w:pos="1800"/>
                <w:tab w:val="left" w:pos="2160"/>
              </w:tabs>
              <w:rPr>
                <w:b/>
                <w:sz w:val="24"/>
              </w:rPr>
            </w:pPr>
            <w:r>
              <w:rPr>
                <w:b/>
                <w:sz w:val="24"/>
              </w:rPr>
              <w:t>PM</w:t>
            </w:r>
            <w:r>
              <w:rPr>
                <w:b/>
                <w:sz w:val="24"/>
                <w:vertAlign w:val="subscript"/>
              </w:rPr>
              <w:t>2.5</w:t>
            </w:r>
          </w:p>
        </w:tc>
        <w:tc>
          <w:tcPr>
            <w:tcW w:w="1350" w:type="dxa"/>
            <w:tcBorders>
              <w:left w:val="nil"/>
            </w:tcBorders>
          </w:tcPr>
          <w:p w:rsidR="00000000" w:rsidRDefault="00C40079">
            <w:pPr>
              <w:tabs>
                <w:tab w:val="left" w:pos="360"/>
                <w:tab w:val="left" w:pos="720"/>
                <w:tab w:val="left" w:pos="1080"/>
                <w:tab w:val="left" w:pos="1440"/>
                <w:tab w:val="left" w:pos="1800"/>
                <w:tab w:val="left" w:pos="2160"/>
              </w:tabs>
              <w:jc w:val="center"/>
              <w:rPr>
                <w:sz w:val="24"/>
              </w:rPr>
            </w:pPr>
          </w:p>
        </w:tc>
        <w:tc>
          <w:tcPr>
            <w:tcW w:w="1350" w:type="dxa"/>
          </w:tcPr>
          <w:p w:rsidR="00000000" w:rsidRDefault="00C40079">
            <w:pPr>
              <w:tabs>
                <w:tab w:val="left" w:pos="360"/>
                <w:tab w:val="left" w:pos="720"/>
                <w:tab w:val="left" w:pos="1080"/>
                <w:tab w:val="left" w:pos="1440"/>
                <w:tab w:val="left" w:pos="1800"/>
                <w:tab w:val="left" w:pos="2160"/>
              </w:tabs>
              <w:jc w:val="center"/>
              <w:rPr>
                <w:sz w:val="24"/>
              </w:rPr>
            </w:pPr>
            <w:r>
              <w:rPr>
                <w:sz w:val="24"/>
              </w:rPr>
              <w:t>√</w:t>
            </w:r>
          </w:p>
        </w:tc>
        <w:tc>
          <w:tcPr>
            <w:tcW w:w="1391" w:type="dxa"/>
            <w:tcBorders>
              <w:right w:val="single" w:sz="18" w:space="0" w:color="000000"/>
            </w:tcBorders>
          </w:tcPr>
          <w:p w:rsidR="00000000" w:rsidRDefault="00C40079">
            <w:pPr>
              <w:tabs>
                <w:tab w:val="left" w:pos="360"/>
                <w:tab w:val="left" w:pos="720"/>
                <w:tab w:val="left" w:pos="1080"/>
                <w:tab w:val="left" w:pos="1440"/>
                <w:tab w:val="left" w:pos="1800"/>
                <w:tab w:val="left" w:pos="2160"/>
              </w:tabs>
              <w:jc w:val="center"/>
              <w:rPr>
                <w:sz w:val="24"/>
              </w:rPr>
            </w:pPr>
            <w:r>
              <w:rPr>
                <w:sz w:val="24"/>
              </w:rPr>
              <w:t>√</w:t>
            </w:r>
          </w:p>
        </w:tc>
      </w:tr>
      <w:tr w:rsidR="00000000">
        <w:tblPrEx>
          <w:tblCellMar>
            <w:top w:w="0" w:type="dxa"/>
            <w:bottom w:w="0" w:type="dxa"/>
          </w:tblCellMar>
        </w:tblPrEx>
        <w:trPr>
          <w:jc w:val="center"/>
        </w:trPr>
        <w:tc>
          <w:tcPr>
            <w:tcW w:w="1089" w:type="dxa"/>
            <w:tcBorders>
              <w:left w:val="single" w:sz="18" w:space="0" w:color="000000"/>
              <w:right w:val="single" w:sz="18" w:space="0" w:color="000000"/>
            </w:tcBorders>
          </w:tcPr>
          <w:p w:rsidR="00000000" w:rsidRDefault="00C40079">
            <w:pPr>
              <w:tabs>
                <w:tab w:val="left" w:pos="360"/>
                <w:tab w:val="left" w:pos="720"/>
                <w:tab w:val="left" w:pos="1080"/>
                <w:tab w:val="left" w:pos="1440"/>
                <w:tab w:val="left" w:pos="1800"/>
                <w:tab w:val="left" w:pos="2160"/>
              </w:tabs>
              <w:rPr>
                <w:b/>
                <w:sz w:val="24"/>
              </w:rPr>
            </w:pPr>
            <w:r>
              <w:rPr>
                <w:b/>
                <w:sz w:val="24"/>
              </w:rPr>
              <w:t>SO</w:t>
            </w:r>
            <w:r>
              <w:rPr>
                <w:b/>
                <w:sz w:val="24"/>
                <w:vertAlign w:val="subscript"/>
              </w:rPr>
              <w:t>2</w:t>
            </w:r>
          </w:p>
        </w:tc>
        <w:tc>
          <w:tcPr>
            <w:tcW w:w="1350" w:type="dxa"/>
            <w:tcBorders>
              <w:left w:val="nil"/>
            </w:tcBorders>
          </w:tcPr>
          <w:p w:rsidR="00000000" w:rsidRDefault="00C40079">
            <w:pPr>
              <w:tabs>
                <w:tab w:val="left" w:pos="360"/>
                <w:tab w:val="left" w:pos="720"/>
                <w:tab w:val="left" w:pos="1080"/>
                <w:tab w:val="left" w:pos="1440"/>
                <w:tab w:val="left" w:pos="1800"/>
                <w:tab w:val="left" w:pos="2160"/>
              </w:tabs>
              <w:jc w:val="center"/>
              <w:rPr>
                <w:sz w:val="24"/>
              </w:rPr>
            </w:pPr>
          </w:p>
        </w:tc>
        <w:tc>
          <w:tcPr>
            <w:tcW w:w="1350" w:type="dxa"/>
          </w:tcPr>
          <w:p w:rsidR="00000000" w:rsidRDefault="00C40079">
            <w:pPr>
              <w:tabs>
                <w:tab w:val="left" w:pos="360"/>
                <w:tab w:val="left" w:pos="720"/>
                <w:tab w:val="left" w:pos="1080"/>
                <w:tab w:val="left" w:pos="1440"/>
                <w:tab w:val="left" w:pos="1800"/>
                <w:tab w:val="left" w:pos="2160"/>
              </w:tabs>
              <w:jc w:val="center"/>
              <w:rPr>
                <w:sz w:val="24"/>
              </w:rPr>
            </w:pPr>
          </w:p>
        </w:tc>
        <w:tc>
          <w:tcPr>
            <w:tcW w:w="1391" w:type="dxa"/>
            <w:tcBorders>
              <w:right w:val="single" w:sz="18" w:space="0" w:color="000000"/>
            </w:tcBorders>
          </w:tcPr>
          <w:p w:rsidR="00000000" w:rsidRDefault="00C40079">
            <w:pPr>
              <w:tabs>
                <w:tab w:val="left" w:pos="360"/>
                <w:tab w:val="left" w:pos="720"/>
                <w:tab w:val="left" w:pos="1080"/>
                <w:tab w:val="left" w:pos="1440"/>
                <w:tab w:val="left" w:pos="1800"/>
                <w:tab w:val="left" w:pos="2160"/>
              </w:tabs>
              <w:jc w:val="center"/>
              <w:rPr>
                <w:sz w:val="24"/>
              </w:rPr>
            </w:pPr>
            <w:r>
              <w:rPr>
                <w:sz w:val="24"/>
              </w:rPr>
              <w:t>√</w:t>
            </w:r>
          </w:p>
        </w:tc>
      </w:tr>
      <w:tr w:rsidR="00000000">
        <w:tblPrEx>
          <w:tblCellMar>
            <w:top w:w="0" w:type="dxa"/>
            <w:bottom w:w="0" w:type="dxa"/>
          </w:tblCellMar>
        </w:tblPrEx>
        <w:trPr>
          <w:jc w:val="center"/>
        </w:trPr>
        <w:tc>
          <w:tcPr>
            <w:tcW w:w="1089" w:type="dxa"/>
            <w:tcBorders>
              <w:left w:val="single" w:sz="18" w:space="0" w:color="000000"/>
              <w:bottom w:val="single" w:sz="18" w:space="0" w:color="000000"/>
              <w:right w:val="single" w:sz="18" w:space="0" w:color="000000"/>
            </w:tcBorders>
          </w:tcPr>
          <w:p w:rsidR="00000000" w:rsidRDefault="00C40079">
            <w:pPr>
              <w:tabs>
                <w:tab w:val="left" w:pos="360"/>
                <w:tab w:val="left" w:pos="720"/>
                <w:tab w:val="left" w:pos="1080"/>
                <w:tab w:val="left" w:pos="1440"/>
                <w:tab w:val="left" w:pos="1800"/>
                <w:tab w:val="left" w:pos="2160"/>
              </w:tabs>
              <w:rPr>
                <w:b/>
                <w:sz w:val="24"/>
              </w:rPr>
            </w:pPr>
            <w:r>
              <w:rPr>
                <w:b/>
                <w:sz w:val="24"/>
              </w:rPr>
              <w:t>NH</w:t>
            </w:r>
            <w:r>
              <w:rPr>
                <w:b/>
                <w:sz w:val="24"/>
                <w:vertAlign w:val="subscript"/>
              </w:rPr>
              <w:t>3</w:t>
            </w:r>
          </w:p>
        </w:tc>
        <w:tc>
          <w:tcPr>
            <w:tcW w:w="1350" w:type="dxa"/>
            <w:tcBorders>
              <w:left w:val="nil"/>
              <w:bottom w:val="single" w:sz="18" w:space="0" w:color="000000"/>
            </w:tcBorders>
          </w:tcPr>
          <w:p w:rsidR="00000000" w:rsidRDefault="00C40079">
            <w:pPr>
              <w:tabs>
                <w:tab w:val="left" w:pos="360"/>
                <w:tab w:val="left" w:pos="720"/>
                <w:tab w:val="left" w:pos="1080"/>
                <w:tab w:val="left" w:pos="1440"/>
                <w:tab w:val="left" w:pos="1800"/>
                <w:tab w:val="left" w:pos="2160"/>
              </w:tabs>
              <w:jc w:val="center"/>
              <w:rPr>
                <w:sz w:val="24"/>
              </w:rPr>
            </w:pPr>
          </w:p>
        </w:tc>
        <w:tc>
          <w:tcPr>
            <w:tcW w:w="1350" w:type="dxa"/>
            <w:tcBorders>
              <w:bottom w:val="single" w:sz="18" w:space="0" w:color="000000"/>
            </w:tcBorders>
          </w:tcPr>
          <w:p w:rsidR="00000000" w:rsidRDefault="00C40079">
            <w:pPr>
              <w:tabs>
                <w:tab w:val="left" w:pos="360"/>
                <w:tab w:val="left" w:pos="720"/>
                <w:tab w:val="left" w:pos="1080"/>
                <w:tab w:val="left" w:pos="1440"/>
                <w:tab w:val="left" w:pos="1800"/>
                <w:tab w:val="left" w:pos="2160"/>
              </w:tabs>
              <w:jc w:val="center"/>
              <w:rPr>
                <w:sz w:val="24"/>
              </w:rPr>
            </w:pPr>
          </w:p>
        </w:tc>
        <w:tc>
          <w:tcPr>
            <w:tcW w:w="1391" w:type="dxa"/>
            <w:tcBorders>
              <w:bottom w:val="single" w:sz="18" w:space="0" w:color="000000"/>
              <w:right w:val="single" w:sz="18" w:space="0" w:color="000000"/>
            </w:tcBorders>
          </w:tcPr>
          <w:p w:rsidR="00000000" w:rsidRDefault="00C40079">
            <w:pPr>
              <w:tabs>
                <w:tab w:val="left" w:pos="360"/>
                <w:tab w:val="left" w:pos="720"/>
                <w:tab w:val="left" w:pos="1080"/>
                <w:tab w:val="left" w:pos="1440"/>
                <w:tab w:val="left" w:pos="1800"/>
                <w:tab w:val="left" w:pos="2160"/>
              </w:tabs>
              <w:jc w:val="center"/>
              <w:rPr>
                <w:sz w:val="24"/>
              </w:rPr>
            </w:pPr>
            <w:r>
              <w:rPr>
                <w:sz w:val="24"/>
              </w:rPr>
              <w:t>√</w:t>
            </w:r>
          </w:p>
        </w:tc>
      </w:tr>
    </w:tbl>
    <w:p w:rsidR="00000000" w:rsidRDefault="00C40079">
      <w:pPr>
        <w:tabs>
          <w:tab w:val="left" w:pos="720"/>
          <w:tab w:val="left" w:pos="1080"/>
          <w:tab w:val="left" w:pos="1440"/>
          <w:tab w:val="left" w:pos="1800"/>
          <w:tab w:val="left" w:pos="2160"/>
        </w:tabs>
      </w:pPr>
      <w:r>
        <w:rPr>
          <w:sz w:val="24"/>
        </w:rPr>
        <w:tab/>
      </w:r>
      <w:r>
        <w:rPr>
          <w:sz w:val="24"/>
        </w:rPr>
        <w:tab/>
      </w:r>
      <w:r>
        <w:rPr>
          <w:sz w:val="24"/>
        </w:rPr>
        <w:tab/>
      </w:r>
      <w:r>
        <w:rPr>
          <w:sz w:val="24"/>
        </w:rPr>
        <w:tab/>
      </w:r>
      <w:r>
        <w:rPr>
          <w:sz w:val="24"/>
        </w:rPr>
        <w:tab/>
      </w:r>
      <w:r>
        <w:t>NOTES:</w:t>
      </w:r>
    </w:p>
    <w:p w:rsidR="00000000" w:rsidRDefault="00C40079">
      <w:pPr>
        <w:tabs>
          <w:tab w:val="left" w:pos="720"/>
          <w:tab w:val="left" w:pos="1080"/>
          <w:tab w:val="left" w:pos="1440"/>
          <w:tab w:val="left" w:pos="1800"/>
          <w:tab w:val="left" w:pos="2160"/>
        </w:tabs>
      </w:pPr>
      <w:r>
        <w:tab/>
      </w:r>
      <w:r>
        <w:tab/>
      </w:r>
      <w:r>
        <w:tab/>
      </w:r>
      <w:r>
        <w:tab/>
      </w:r>
      <w:r>
        <w:tab/>
        <w:t>(1) Average daily emissions for a typical summer work week day.</w:t>
      </w:r>
    </w:p>
    <w:p w:rsidR="00000000" w:rsidRDefault="00C40079">
      <w:pPr>
        <w:tabs>
          <w:tab w:val="left" w:pos="720"/>
          <w:tab w:val="left" w:pos="1080"/>
          <w:tab w:val="left" w:pos="1440"/>
          <w:tab w:val="left" w:pos="1800"/>
          <w:tab w:val="left" w:pos="2160"/>
        </w:tabs>
      </w:pPr>
      <w:r>
        <w:tab/>
      </w:r>
      <w:r>
        <w:tab/>
      </w:r>
      <w:r>
        <w:tab/>
      </w:r>
      <w:r>
        <w:tab/>
      </w:r>
      <w:r>
        <w:tab/>
        <w:t>(2) Average daily emissions for a typical winter work week day.</w:t>
      </w:r>
    </w:p>
    <w:p w:rsidR="00000000" w:rsidRDefault="00C40079">
      <w:pPr>
        <w:pStyle w:val="Level2"/>
        <w:widowControl/>
        <w:tabs>
          <w:tab w:val="left" w:pos="720"/>
          <w:tab w:val="left" w:pos="1080"/>
          <w:tab w:val="left" w:pos="1440"/>
          <w:tab w:val="left" w:pos="1800"/>
          <w:tab w:val="left" w:pos="2160"/>
        </w:tabs>
      </w:pPr>
    </w:p>
    <w:p w:rsidR="00000000" w:rsidRDefault="00C40079">
      <w:pPr>
        <w:numPr>
          <w:ilvl w:val="0"/>
          <w:numId w:val="50"/>
        </w:numPr>
        <w:tabs>
          <w:tab w:val="clear" w:pos="360"/>
          <w:tab w:val="left" w:pos="720"/>
          <w:tab w:val="left" w:pos="1080"/>
          <w:tab w:val="left" w:pos="1440"/>
          <w:tab w:val="left" w:pos="1800"/>
        </w:tabs>
        <w:ind w:left="1080" w:firstLine="0"/>
        <w:rPr>
          <w:b/>
          <w:sz w:val="24"/>
        </w:rPr>
      </w:pPr>
      <w:bookmarkStart w:id="199" w:name="Emission_Inv_Summary"/>
      <w:bookmarkStart w:id="200" w:name="_Hlt126637225"/>
      <w:bookmarkEnd w:id="200"/>
      <w:r>
        <w:rPr>
          <w:b/>
          <w:sz w:val="24"/>
        </w:rPr>
        <w:t>Emission Inventory Summary</w:t>
      </w:r>
      <w:bookmarkEnd w:id="199"/>
    </w:p>
    <w:p w:rsidR="00000000" w:rsidRDefault="00C40079">
      <w:pPr>
        <w:tabs>
          <w:tab w:val="left" w:pos="720"/>
          <w:tab w:val="left" w:pos="1080"/>
          <w:tab w:val="left" w:pos="1440"/>
          <w:tab w:val="left" w:pos="1800"/>
          <w:tab w:val="left" w:pos="2160"/>
        </w:tabs>
        <w:rPr>
          <w:sz w:val="24"/>
        </w:rPr>
      </w:pPr>
    </w:p>
    <w:p w:rsidR="00000000" w:rsidRDefault="00C40079">
      <w:pPr>
        <w:tabs>
          <w:tab w:val="left" w:pos="720"/>
          <w:tab w:val="left" w:pos="1080"/>
          <w:tab w:val="left" w:pos="1440"/>
          <w:tab w:val="left" w:pos="1800"/>
          <w:tab w:val="left" w:pos="2160"/>
        </w:tabs>
        <w:rPr>
          <w:sz w:val="24"/>
        </w:rPr>
      </w:pPr>
      <w:r>
        <w:rPr>
          <w:sz w:val="24"/>
        </w:rPr>
        <w:t xml:space="preserve">A summary </w:t>
      </w:r>
      <w:r>
        <w:rPr>
          <w:sz w:val="24"/>
        </w:rPr>
        <w:t>of the 2002 Periodic Emission Inventory for New Jersey is presented in Table XVII by pollutant and source sector.  Table XVIII presents the inventory data by pollutant and county.  Table XIX presents the inventory data by pollutant, source sector, and coun</w:t>
      </w:r>
      <w:r>
        <w:rPr>
          <w:sz w:val="24"/>
        </w:rPr>
        <w:t>ty.  A series of figures showing the top fifteen pollutants by Source Classification Code (SCC) for each pollutant and source sector can be found in Appendix D, Attachment 1.</w:t>
      </w:r>
    </w:p>
    <w:p w:rsidR="00000000" w:rsidRDefault="00C40079">
      <w:pPr>
        <w:tabs>
          <w:tab w:val="left" w:pos="720"/>
          <w:tab w:val="left" w:pos="1080"/>
          <w:tab w:val="left" w:pos="1440"/>
          <w:tab w:val="left" w:pos="1800"/>
          <w:tab w:val="left" w:pos="2160"/>
        </w:tabs>
        <w:rPr>
          <w:sz w:val="24"/>
        </w:rPr>
      </w:pPr>
      <w:r>
        <w:rPr>
          <w:sz w:val="24"/>
        </w:rPr>
        <w:t xml:space="preserve"> </w:t>
      </w:r>
    </w:p>
    <w:p w:rsidR="00000000" w:rsidRDefault="00C40079">
      <w:pPr>
        <w:pStyle w:val="Level2"/>
        <w:widowControl/>
        <w:tabs>
          <w:tab w:val="left" w:pos="720"/>
          <w:tab w:val="left" w:pos="1080"/>
          <w:tab w:val="left" w:pos="1440"/>
          <w:tab w:val="left" w:pos="1800"/>
          <w:tab w:val="left" w:pos="2160"/>
        </w:tabs>
      </w:pPr>
      <w:r>
        <w:t xml:space="preserve">Note, the summary tables, graphs, and the detailed county source sector tables </w:t>
      </w:r>
      <w:r>
        <w:t>found in the attachments to this report contain adjusted values for fugitive dust.  Discussion on the fugitive dust inventory and the adjustment can be found in Appendix D, Attachment 2.</w:t>
      </w:r>
    </w:p>
    <w:p w:rsidR="00000000" w:rsidRDefault="00C40079">
      <w:pPr>
        <w:tabs>
          <w:tab w:val="left" w:pos="720"/>
          <w:tab w:val="left" w:pos="1080"/>
          <w:tab w:val="left" w:pos="1440"/>
          <w:tab w:val="left" w:pos="1800"/>
          <w:tab w:val="left" w:pos="2160"/>
        </w:tabs>
        <w:rPr>
          <w:sz w:val="24"/>
        </w:rPr>
      </w:pPr>
      <w:r>
        <w:rPr>
          <w:sz w:val="24"/>
        </w:rPr>
        <w:br w:type="page"/>
      </w:r>
    </w:p>
    <w:p w:rsidR="00000000" w:rsidRDefault="00C40079">
      <w:pPr>
        <w:pStyle w:val="Heading3"/>
        <w:tabs>
          <w:tab w:val="left" w:pos="720"/>
          <w:tab w:val="left" w:pos="1080"/>
          <w:tab w:val="left" w:pos="1440"/>
          <w:tab w:val="left" w:pos="1800"/>
          <w:tab w:val="left" w:pos="2160"/>
        </w:tabs>
      </w:pPr>
      <w:bookmarkStart w:id="201" w:name="Table_XVII"/>
      <w:bookmarkStart w:id="202" w:name="_Hlt126641949"/>
      <w:bookmarkEnd w:id="202"/>
      <w:r>
        <w:t>Table XV</w:t>
      </w:r>
      <w:bookmarkEnd w:id="201"/>
      <w:r>
        <w:t>II</w:t>
      </w:r>
    </w:p>
    <w:p w:rsidR="00000000" w:rsidRDefault="00C40079">
      <w:pPr>
        <w:pStyle w:val="Heading3"/>
        <w:tabs>
          <w:tab w:val="left" w:pos="720"/>
          <w:tab w:val="left" w:pos="1080"/>
          <w:tab w:val="left" w:pos="1440"/>
          <w:tab w:val="left" w:pos="1800"/>
          <w:tab w:val="left" w:pos="2160"/>
        </w:tabs>
      </w:pPr>
      <w:r>
        <w:t>2002 Statewide Emission Inventory by Source Sector and P</w:t>
      </w:r>
      <w:r>
        <w:t>ollutant</w:t>
      </w:r>
    </w:p>
    <w:p w:rsidR="00000000" w:rsidRDefault="00C40079">
      <w:pPr>
        <w:tabs>
          <w:tab w:val="left" w:pos="720"/>
          <w:tab w:val="left" w:pos="1080"/>
          <w:tab w:val="left" w:pos="1440"/>
          <w:tab w:val="left" w:pos="1800"/>
          <w:tab w:val="left" w:pos="2160"/>
        </w:tabs>
        <w:rPr>
          <w:sz w:val="24"/>
        </w:rPr>
      </w:pPr>
    </w:p>
    <w:tbl>
      <w:tblPr>
        <w:tblW w:w="0" w:type="auto"/>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AF" w:firstRow="1" w:lastRow="0" w:firstColumn="1" w:lastColumn="0" w:noHBand="0" w:noVBand="0"/>
      </w:tblPr>
      <w:tblGrid>
        <w:gridCol w:w="1440"/>
        <w:gridCol w:w="1440"/>
        <w:gridCol w:w="1440"/>
        <w:gridCol w:w="1440"/>
        <w:gridCol w:w="1440"/>
        <w:gridCol w:w="1440"/>
        <w:gridCol w:w="1440"/>
      </w:tblGrid>
      <w:tr w:rsidR="00000000">
        <w:tblPrEx>
          <w:tblCellMar>
            <w:top w:w="0" w:type="dxa"/>
            <w:bottom w:w="0" w:type="dxa"/>
          </w:tblCellMar>
        </w:tblPrEx>
        <w:trPr>
          <w:cantSplit/>
          <w:jc w:val="center"/>
        </w:trPr>
        <w:tc>
          <w:tcPr>
            <w:tcW w:w="1440" w:type="dxa"/>
            <w:tcBorders>
              <w:top w:val="double" w:sz="4" w:space="0" w:color="auto"/>
              <w:left w:val="double" w:sz="4" w:space="0" w:color="auto"/>
              <w:bottom w:val="single" w:sz="18" w:space="0" w:color="000000"/>
              <w:right w:val="single" w:sz="18" w:space="0" w:color="000000"/>
            </w:tcBorders>
          </w:tcPr>
          <w:p w:rsidR="00000000" w:rsidRDefault="00C40079">
            <w:pPr>
              <w:tabs>
                <w:tab w:val="left" w:pos="360"/>
                <w:tab w:val="left" w:pos="720"/>
                <w:tab w:val="left" w:pos="1080"/>
                <w:tab w:val="left" w:pos="1440"/>
                <w:tab w:val="left" w:pos="1800"/>
                <w:tab w:val="left" w:pos="2160"/>
              </w:tabs>
              <w:jc w:val="center"/>
              <w:rPr>
                <w:b/>
                <w:sz w:val="22"/>
              </w:rPr>
            </w:pPr>
          </w:p>
        </w:tc>
        <w:tc>
          <w:tcPr>
            <w:tcW w:w="4320" w:type="dxa"/>
            <w:gridSpan w:val="3"/>
            <w:tcBorders>
              <w:top w:val="double" w:sz="4" w:space="0" w:color="auto"/>
              <w:left w:val="nil"/>
              <w:bottom w:val="single" w:sz="18" w:space="0" w:color="000000"/>
              <w:right w:val="single" w:sz="18"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VOC</w:t>
            </w:r>
          </w:p>
        </w:tc>
        <w:tc>
          <w:tcPr>
            <w:tcW w:w="4320" w:type="dxa"/>
            <w:gridSpan w:val="3"/>
            <w:tcBorders>
              <w:top w:val="double" w:sz="4" w:space="0" w:color="auto"/>
              <w:left w:val="nil"/>
              <w:bottom w:val="single" w:sz="18" w:space="0" w:color="000000"/>
              <w:right w:val="double" w:sz="4" w:space="0" w:color="auto"/>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NO</w:t>
            </w:r>
            <w:r>
              <w:rPr>
                <w:b/>
                <w:sz w:val="22"/>
                <w:vertAlign w:val="subscript"/>
              </w:rPr>
              <w:t>x</w:t>
            </w:r>
          </w:p>
        </w:tc>
      </w:tr>
      <w:tr w:rsidR="00000000">
        <w:tblPrEx>
          <w:tblCellMar>
            <w:top w:w="0" w:type="dxa"/>
            <w:bottom w:w="0" w:type="dxa"/>
          </w:tblCellMar>
        </w:tblPrEx>
        <w:trPr>
          <w:jc w:val="center"/>
        </w:trPr>
        <w:tc>
          <w:tcPr>
            <w:tcW w:w="1440" w:type="dxa"/>
            <w:tcBorders>
              <w:top w:val="double" w:sz="4" w:space="0" w:color="auto"/>
              <w:left w:val="double" w:sz="4" w:space="0" w:color="auto"/>
              <w:bottom w:val="single" w:sz="18" w:space="0" w:color="000000"/>
              <w:right w:val="single" w:sz="18" w:space="0" w:color="000000"/>
            </w:tcBorders>
          </w:tcPr>
          <w:p w:rsidR="00000000" w:rsidRDefault="00C40079">
            <w:pPr>
              <w:tabs>
                <w:tab w:val="left" w:pos="360"/>
                <w:tab w:val="left" w:pos="720"/>
                <w:tab w:val="left" w:pos="1080"/>
                <w:tab w:val="left" w:pos="1440"/>
                <w:tab w:val="left" w:pos="1800"/>
                <w:tab w:val="left" w:pos="2160"/>
              </w:tabs>
              <w:jc w:val="center"/>
              <w:rPr>
                <w:b/>
                <w:sz w:val="22"/>
              </w:rPr>
            </w:pPr>
          </w:p>
          <w:p w:rsidR="00000000" w:rsidRDefault="00C40079">
            <w:pPr>
              <w:tabs>
                <w:tab w:val="left" w:pos="360"/>
                <w:tab w:val="left" w:pos="720"/>
                <w:tab w:val="left" w:pos="1080"/>
                <w:tab w:val="left" w:pos="1440"/>
                <w:tab w:val="left" w:pos="1800"/>
                <w:tab w:val="left" w:pos="2160"/>
              </w:tabs>
              <w:jc w:val="center"/>
              <w:rPr>
                <w:b/>
                <w:sz w:val="22"/>
              </w:rPr>
            </w:pPr>
            <w:r>
              <w:rPr>
                <w:b/>
                <w:sz w:val="22"/>
              </w:rPr>
              <w:t>Source Sector</w:t>
            </w:r>
          </w:p>
        </w:tc>
        <w:tc>
          <w:tcPr>
            <w:tcW w:w="1440" w:type="dxa"/>
            <w:tcBorders>
              <w:top w:val="double" w:sz="4" w:space="0" w:color="auto"/>
              <w:left w:val="nil"/>
              <w:bottom w:val="single" w:sz="18"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Tons per Summer Day</w:t>
            </w:r>
          </w:p>
        </w:tc>
        <w:tc>
          <w:tcPr>
            <w:tcW w:w="1440" w:type="dxa"/>
            <w:tcBorders>
              <w:top w:val="double" w:sz="4" w:space="0" w:color="auto"/>
              <w:left w:val="nil"/>
              <w:bottom w:val="single" w:sz="18"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Tons per Year</w:t>
            </w:r>
          </w:p>
        </w:tc>
        <w:tc>
          <w:tcPr>
            <w:tcW w:w="1440" w:type="dxa"/>
            <w:tcBorders>
              <w:top w:val="double" w:sz="4" w:space="0" w:color="auto"/>
              <w:bottom w:val="single" w:sz="18" w:space="0" w:color="000000"/>
              <w:right w:val="single" w:sz="18"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 of Total Annual Inventory</w:t>
            </w:r>
          </w:p>
        </w:tc>
        <w:tc>
          <w:tcPr>
            <w:tcW w:w="1440" w:type="dxa"/>
            <w:tcBorders>
              <w:top w:val="double" w:sz="4" w:space="0" w:color="auto"/>
              <w:left w:val="nil"/>
              <w:bottom w:val="single" w:sz="18"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Tons per Summer Day</w:t>
            </w:r>
          </w:p>
        </w:tc>
        <w:tc>
          <w:tcPr>
            <w:tcW w:w="1440" w:type="dxa"/>
            <w:tcBorders>
              <w:top w:val="double" w:sz="4" w:space="0" w:color="auto"/>
              <w:bottom w:val="single" w:sz="18" w:space="0" w:color="000000"/>
              <w:right w:val="single" w:sz="12"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Tons per Year</w:t>
            </w:r>
          </w:p>
        </w:tc>
        <w:tc>
          <w:tcPr>
            <w:tcW w:w="1440" w:type="dxa"/>
            <w:tcBorders>
              <w:top w:val="double" w:sz="4" w:space="0" w:color="auto"/>
              <w:left w:val="nil"/>
              <w:bottom w:val="single" w:sz="18" w:space="0" w:color="000000"/>
              <w:right w:val="double" w:sz="4" w:space="0" w:color="auto"/>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 of Total Annual Inventory</w:t>
            </w:r>
          </w:p>
        </w:tc>
      </w:tr>
      <w:tr w:rsidR="00000000">
        <w:tblPrEx>
          <w:tblCellMar>
            <w:top w:w="0" w:type="dxa"/>
            <w:bottom w:w="0" w:type="dxa"/>
          </w:tblCellMar>
        </w:tblPrEx>
        <w:trPr>
          <w:jc w:val="center"/>
        </w:trPr>
        <w:tc>
          <w:tcPr>
            <w:tcW w:w="1440" w:type="dxa"/>
            <w:tcBorders>
              <w:top w:val="nil"/>
              <w:left w:val="double" w:sz="4" w:space="0" w:color="auto"/>
              <w:right w:val="single" w:sz="18"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Point</w:t>
            </w:r>
          </w:p>
        </w:tc>
        <w:tc>
          <w:tcPr>
            <w:tcW w:w="1440" w:type="dxa"/>
            <w:tcBorders>
              <w:top w:val="nil"/>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113.15</w:t>
            </w:r>
          </w:p>
        </w:tc>
        <w:tc>
          <w:tcPr>
            <w:tcW w:w="1440" w:type="dxa"/>
            <w:tcBorders>
              <w:top w:val="nil"/>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30,169</w:t>
            </w:r>
          </w:p>
        </w:tc>
        <w:tc>
          <w:tcPr>
            <w:tcW w:w="1440" w:type="dxa"/>
            <w:tcBorders>
              <w:top w:val="nil"/>
              <w:right w:val="single" w:sz="18"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6.41%</w:t>
            </w:r>
          </w:p>
        </w:tc>
        <w:tc>
          <w:tcPr>
            <w:tcW w:w="1440" w:type="dxa"/>
            <w:tcBorders>
              <w:top w:val="nil"/>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280.36</w:t>
            </w:r>
          </w:p>
        </w:tc>
        <w:tc>
          <w:tcPr>
            <w:tcW w:w="1440" w:type="dxa"/>
            <w:tcBorders>
              <w:top w:val="nil"/>
              <w:right w:val="single" w:sz="12"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52,121</w:t>
            </w:r>
          </w:p>
        </w:tc>
        <w:tc>
          <w:tcPr>
            <w:tcW w:w="1440" w:type="dxa"/>
            <w:tcBorders>
              <w:top w:val="nil"/>
              <w:left w:val="nil"/>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14.77%</w:t>
            </w:r>
          </w:p>
        </w:tc>
      </w:tr>
      <w:tr w:rsidR="00000000">
        <w:tblPrEx>
          <w:tblCellMar>
            <w:top w:w="0" w:type="dxa"/>
            <w:bottom w:w="0" w:type="dxa"/>
          </w:tblCellMar>
        </w:tblPrEx>
        <w:trPr>
          <w:jc w:val="center"/>
        </w:trPr>
        <w:tc>
          <w:tcPr>
            <w:tcW w:w="1440" w:type="dxa"/>
            <w:tcBorders>
              <w:left w:val="double" w:sz="4" w:space="0" w:color="auto"/>
              <w:right w:val="single" w:sz="18"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 xml:space="preserve">Area </w:t>
            </w:r>
          </w:p>
        </w:tc>
        <w:tc>
          <w:tcPr>
            <w:tcW w:w="144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369.83</w:t>
            </w:r>
          </w:p>
        </w:tc>
        <w:tc>
          <w:tcPr>
            <w:tcW w:w="144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127,673</w:t>
            </w:r>
          </w:p>
        </w:tc>
        <w:tc>
          <w:tcPr>
            <w:tcW w:w="1440" w:type="dxa"/>
            <w:tcBorders>
              <w:right w:val="single" w:sz="18"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27.12%</w:t>
            </w:r>
          </w:p>
        </w:tc>
        <w:tc>
          <w:tcPr>
            <w:tcW w:w="144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35.92</w:t>
            </w:r>
          </w:p>
        </w:tc>
        <w:tc>
          <w:tcPr>
            <w:tcW w:w="1440" w:type="dxa"/>
            <w:tcBorders>
              <w:right w:val="single" w:sz="12"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26,742</w:t>
            </w:r>
          </w:p>
        </w:tc>
        <w:tc>
          <w:tcPr>
            <w:tcW w:w="1440" w:type="dxa"/>
            <w:tcBorders>
              <w:left w:val="nil"/>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7.58%</w:t>
            </w:r>
          </w:p>
        </w:tc>
      </w:tr>
      <w:tr w:rsidR="00000000">
        <w:tblPrEx>
          <w:tblCellMar>
            <w:top w:w="0" w:type="dxa"/>
            <w:bottom w:w="0" w:type="dxa"/>
          </w:tblCellMar>
        </w:tblPrEx>
        <w:trPr>
          <w:jc w:val="center"/>
        </w:trPr>
        <w:tc>
          <w:tcPr>
            <w:tcW w:w="1440" w:type="dxa"/>
            <w:tcBorders>
              <w:left w:val="double" w:sz="4" w:space="0" w:color="auto"/>
              <w:right w:val="single" w:sz="18"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Onroad</w:t>
            </w:r>
          </w:p>
        </w:tc>
        <w:tc>
          <w:tcPr>
            <w:tcW w:w="144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274.74</w:t>
            </w:r>
          </w:p>
        </w:tc>
        <w:tc>
          <w:tcPr>
            <w:tcW w:w="144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106,589</w:t>
            </w:r>
          </w:p>
        </w:tc>
        <w:tc>
          <w:tcPr>
            <w:tcW w:w="1440" w:type="dxa"/>
            <w:tcBorders>
              <w:right w:val="single" w:sz="18"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22.65%</w:t>
            </w:r>
          </w:p>
        </w:tc>
        <w:tc>
          <w:tcPr>
            <w:tcW w:w="144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558.66</w:t>
            </w:r>
          </w:p>
        </w:tc>
        <w:tc>
          <w:tcPr>
            <w:tcW w:w="1440" w:type="dxa"/>
            <w:tcBorders>
              <w:right w:val="single" w:sz="12"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206,280</w:t>
            </w:r>
          </w:p>
        </w:tc>
        <w:tc>
          <w:tcPr>
            <w:tcW w:w="1440" w:type="dxa"/>
            <w:tcBorders>
              <w:left w:val="nil"/>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58.44%</w:t>
            </w:r>
          </w:p>
        </w:tc>
      </w:tr>
      <w:tr w:rsidR="00000000">
        <w:tblPrEx>
          <w:tblCellMar>
            <w:top w:w="0" w:type="dxa"/>
            <w:bottom w:w="0" w:type="dxa"/>
          </w:tblCellMar>
        </w:tblPrEx>
        <w:trPr>
          <w:jc w:val="center"/>
        </w:trPr>
        <w:tc>
          <w:tcPr>
            <w:tcW w:w="1440" w:type="dxa"/>
            <w:tcBorders>
              <w:left w:val="double" w:sz="4" w:space="0" w:color="auto"/>
              <w:right w:val="single" w:sz="18"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Nonroad</w:t>
            </w:r>
          </w:p>
        </w:tc>
        <w:tc>
          <w:tcPr>
            <w:tcW w:w="144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220.60</w:t>
            </w:r>
          </w:p>
        </w:tc>
        <w:tc>
          <w:tcPr>
            <w:tcW w:w="144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70,407</w:t>
            </w:r>
          </w:p>
        </w:tc>
        <w:tc>
          <w:tcPr>
            <w:tcW w:w="1440" w:type="dxa"/>
            <w:tcBorders>
              <w:right w:val="single" w:sz="18"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14.96%</w:t>
            </w:r>
          </w:p>
        </w:tc>
        <w:tc>
          <w:tcPr>
            <w:tcW w:w="144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231.56</w:t>
            </w:r>
          </w:p>
        </w:tc>
        <w:tc>
          <w:tcPr>
            <w:tcW w:w="1440" w:type="dxa"/>
            <w:tcBorders>
              <w:right w:val="single" w:sz="12"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66,443</w:t>
            </w:r>
          </w:p>
        </w:tc>
        <w:tc>
          <w:tcPr>
            <w:tcW w:w="1440" w:type="dxa"/>
            <w:tcBorders>
              <w:left w:val="nil"/>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18.82%</w:t>
            </w:r>
          </w:p>
        </w:tc>
      </w:tr>
      <w:tr w:rsidR="00000000">
        <w:tblPrEx>
          <w:tblCellMar>
            <w:top w:w="0" w:type="dxa"/>
            <w:bottom w:w="0" w:type="dxa"/>
          </w:tblCellMar>
        </w:tblPrEx>
        <w:trPr>
          <w:jc w:val="center"/>
        </w:trPr>
        <w:tc>
          <w:tcPr>
            <w:tcW w:w="1440" w:type="dxa"/>
            <w:tcBorders>
              <w:left w:val="double" w:sz="4" w:space="0" w:color="auto"/>
              <w:right w:val="single" w:sz="18"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Biogenic</w:t>
            </w:r>
          </w:p>
        </w:tc>
        <w:tc>
          <w:tcPr>
            <w:tcW w:w="144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371.95</w:t>
            </w:r>
          </w:p>
        </w:tc>
        <w:tc>
          <w:tcPr>
            <w:tcW w:w="144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135,851</w:t>
            </w:r>
          </w:p>
        </w:tc>
        <w:tc>
          <w:tcPr>
            <w:tcW w:w="1440" w:type="dxa"/>
            <w:tcBorders>
              <w:right w:val="single" w:sz="18"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28.86%</w:t>
            </w:r>
          </w:p>
        </w:tc>
        <w:tc>
          <w:tcPr>
            <w:tcW w:w="144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3.78</w:t>
            </w:r>
          </w:p>
        </w:tc>
        <w:tc>
          <w:tcPr>
            <w:tcW w:w="1440" w:type="dxa"/>
            <w:tcBorders>
              <w:right w:val="single" w:sz="12"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1,382</w:t>
            </w:r>
          </w:p>
        </w:tc>
        <w:tc>
          <w:tcPr>
            <w:tcW w:w="1440" w:type="dxa"/>
            <w:tcBorders>
              <w:left w:val="nil"/>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0.39%</w:t>
            </w:r>
          </w:p>
        </w:tc>
      </w:tr>
      <w:tr w:rsidR="00000000">
        <w:tblPrEx>
          <w:tblCellMar>
            <w:top w:w="0" w:type="dxa"/>
            <w:bottom w:w="0" w:type="dxa"/>
          </w:tblCellMar>
        </w:tblPrEx>
        <w:trPr>
          <w:jc w:val="center"/>
        </w:trPr>
        <w:tc>
          <w:tcPr>
            <w:tcW w:w="1440" w:type="dxa"/>
            <w:tcBorders>
              <w:top w:val="single" w:sz="18" w:space="0" w:color="000000"/>
              <w:left w:val="double" w:sz="4" w:space="0" w:color="auto"/>
              <w:bottom w:val="double" w:sz="4" w:space="0" w:color="auto"/>
              <w:right w:val="single" w:sz="18" w:space="0" w:color="000000"/>
            </w:tcBorders>
            <w:vAlign w:val="center"/>
          </w:tcPr>
          <w:p w:rsidR="00000000" w:rsidRDefault="00C40079">
            <w:pPr>
              <w:tabs>
                <w:tab w:val="left" w:pos="360"/>
                <w:tab w:val="left" w:pos="720"/>
                <w:tab w:val="left" w:pos="1080"/>
                <w:tab w:val="left" w:pos="1440"/>
                <w:tab w:val="left" w:pos="1800"/>
                <w:tab w:val="left" w:pos="2160"/>
              </w:tabs>
              <w:rPr>
                <w:sz w:val="22"/>
              </w:rPr>
            </w:pPr>
            <w:r>
              <w:rPr>
                <w:sz w:val="22"/>
              </w:rPr>
              <w:t>Total in State</w:t>
            </w:r>
          </w:p>
        </w:tc>
        <w:tc>
          <w:tcPr>
            <w:tcW w:w="1440" w:type="dxa"/>
            <w:tcBorders>
              <w:top w:val="single" w:sz="18" w:space="0" w:color="000000"/>
              <w:left w:val="nil"/>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1,350.27</w:t>
            </w:r>
          </w:p>
        </w:tc>
        <w:tc>
          <w:tcPr>
            <w:tcW w:w="1440" w:type="dxa"/>
            <w:tcBorders>
              <w:top w:val="single" w:sz="18" w:space="0" w:color="000000"/>
              <w:left w:val="nil"/>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470,689</w:t>
            </w:r>
          </w:p>
        </w:tc>
        <w:tc>
          <w:tcPr>
            <w:tcW w:w="1440" w:type="dxa"/>
            <w:tcBorders>
              <w:top w:val="single" w:sz="18" w:space="0" w:color="000000"/>
              <w:bottom w:val="double" w:sz="4" w:space="0" w:color="auto"/>
              <w:right w:val="single" w:sz="18" w:space="0" w:color="000000"/>
            </w:tcBorders>
          </w:tcPr>
          <w:p w:rsidR="00000000" w:rsidRDefault="00C40079">
            <w:pPr>
              <w:tabs>
                <w:tab w:val="left" w:pos="360"/>
                <w:tab w:val="left" w:pos="720"/>
                <w:tab w:val="left" w:pos="1080"/>
                <w:tab w:val="left" w:pos="1440"/>
                <w:tab w:val="left" w:pos="1800"/>
                <w:tab w:val="left" w:pos="2160"/>
              </w:tabs>
              <w:jc w:val="right"/>
              <w:rPr>
                <w:sz w:val="22"/>
              </w:rPr>
            </w:pPr>
          </w:p>
        </w:tc>
        <w:tc>
          <w:tcPr>
            <w:tcW w:w="1440" w:type="dxa"/>
            <w:tcBorders>
              <w:top w:val="single" w:sz="18" w:space="0" w:color="000000"/>
              <w:left w:val="nil"/>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1,110.28</w:t>
            </w:r>
          </w:p>
        </w:tc>
        <w:tc>
          <w:tcPr>
            <w:tcW w:w="1440" w:type="dxa"/>
            <w:tcBorders>
              <w:top w:val="single" w:sz="18" w:space="0" w:color="000000"/>
              <w:bottom w:val="double" w:sz="4" w:space="0" w:color="auto"/>
              <w:right w:val="single" w:sz="12"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352,968</w:t>
            </w:r>
          </w:p>
        </w:tc>
        <w:tc>
          <w:tcPr>
            <w:tcW w:w="1440" w:type="dxa"/>
            <w:tcBorders>
              <w:top w:val="single" w:sz="18" w:space="0" w:color="000000"/>
              <w:left w:val="nil"/>
              <w:bottom w:val="double" w:sz="4" w:space="0" w:color="auto"/>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p>
        </w:tc>
      </w:tr>
    </w:tbl>
    <w:p w:rsidR="00000000" w:rsidRDefault="00C40079">
      <w:pPr>
        <w:pStyle w:val="Level2"/>
        <w:widowControl/>
        <w:tabs>
          <w:tab w:val="left" w:pos="720"/>
          <w:tab w:val="left" w:pos="1080"/>
          <w:tab w:val="left" w:pos="1440"/>
          <w:tab w:val="left" w:pos="1800"/>
          <w:tab w:val="left" w:pos="2160"/>
        </w:tabs>
      </w:pPr>
    </w:p>
    <w:tbl>
      <w:tblPr>
        <w:tblW w:w="0" w:type="auto"/>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AF" w:firstRow="1" w:lastRow="0" w:firstColumn="1" w:lastColumn="0" w:noHBand="0" w:noVBand="0"/>
      </w:tblPr>
      <w:tblGrid>
        <w:gridCol w:w="1800"/>
        <w:gridCol w:w="1440"/>
        <w:gridCol w:w="1548"/>
        <w:gridCol w:w="1332"/>
        <w:gridCol w:w="1440"/>
        <w:gridCol w:w="1440"/>
      </w:tblGrid>
      <w:tr w:rsidR="00000000">
        <w:tblPrEx>
          <w:tblCellMar>
            <w:top w:w="0" w:type="dxa"/>
            <w:bottom w:w="0" w:type="dxa"/>
          </w:tblCellMar>
        </w:tblPrEx>
        <w:trPr>
          <w:cantSplit/>
          <w:jc w:val="center"/>
        </w:trPr>
        <w:tc>
          <w:tcPr>
            <w:tcW w:w="1800" w:type="dxa"/>
            <w:tcBorders>
              <w:top w:val="double" w:sz="4" w:space="0" w:color="auto"/>
              <w:left w:val="double" w:sz="4" w:space="0" w:color="auto"/>
              <w:bottom w:val="single" w:sz="18" w:space="0" w:color="000000"/>
              <w:right w:val="single" w:sz="18" w:space="0" w:color="000000"/>
            </w:tcBorders>
          </w:tcPr>
          <w:p w:rsidR="00000000" w:rsidRDefault="00C40079">
            <w:pPr>
              <w:tabs>
                <w:tab w:val="left" w:pos="360"/>
                <w:tab w:val="left" w:pos="720"/>
                <w:tab w:val="left" w:pos="1080"/>
                <w:tab w:val="left" w:pos="1440"/>
                <w:tab w:val="left" w:pos="1800"/>
                <w:tab w:val="left" w:pos="2160"/>
              </w:tabs>
              <w:jc w:val="center"/>
              <w:rPr>
                <w:b/>
                <w:sz w:val="22"/>
              </w:rPr>
            </w:pPr>
          </w:p>
        </w:tc>
        <w:tc>
          <w:tcPr>
            <w:tcW w:w="4320" w:type="dxa"/>
            <w:gridSpan w:val="3"/>
            <w:tcBorders>
              <w:top w:val="double" w:sz="4" w:space="0" w:color="auto"/>
              <w:left w:val="nil"/>
              <w:bottom w:val="single" w:sz="18" w:space="0" w:color="000000"/>
              <w:right w:val="single" w:sz="18"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 xml:space="preserve">Carbon Monoxide </w:t>
            </w:r>
          </w:p>
        </w:tc>
        <w:tc>
          <w:tcPr>
            <w:tcW w:w="2880" w:type="dxa"/>
            <w:gridSpan w:val="2"/>
            <w:tcBorders>
              <w:top w:val="double" w:sz="4" w:space="0" w:color="auto"/>
              <w:left w:val="nil"/>
              <w:bottom w:val="single" w:sz="18" w:space="0" w:color="000000"/>
              <w:right w:val="double" w:sz="4" w:space="0" w:color="auto"/>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PM</w:t>
            </w:r>
            <w:r>
              <w:rPr>
                <w:b/>
                <w:sz w:val="22"/>
                <w:vertAlign w:val="subscript"/>
              </w:rPr>
              <w:t>10</w:t>
            </w:r>
            <w:r>
              <w:rPr>
                <w:b/>
                <w:sz w:val="22"/>
                <w:vertAlign w:val="superscript"/>
              </w:rPr>
              <w:t>(1)</w:t>
            </w:r>
          </w:p>
        </w:tc>
      </w:tr>
      <w:tr w:rsidR="00000000">
        <w:tblPrEx>
          <w:tblCellMar>
            <w:top w:w="0" w:type="dxa"/>
            <w:bottom w:w="0" w:type="dxa"/>
          </w:tblCellMar>
        </w:tblPrEx>
        <w:trPr>
          <w:jc w:val="center"/>
        </w:trPr>
        <w:tc>
          <w:tcPr>
            <w:tcW w:w="1800" w:type="dxa"/>
            <w:tcBorders>
              <w:top w:val="double" w:sz="4" w:space="0" w:color="auto"/>
              <w:left w:val="double" w:sz="4" w:space="0" w:color="auto"/>
              <w:bottom w:val="single" w:sz="18" w:space="0" w:color="000000"/>
              <w:right w:val="single" w:sz="18" w:space="0" w:color="000000"/>
            </w:tcBorders>
          </w:tcPr>
          <w:p w:rsidR="00000000" w:rsidRDefault="00C40079">
            <w:pPr>
              <w:tabs>
                <w:tab w:val="left" w:pos="360"/>
                <w:tab w:val="left" w:pos="720"/>
                <w:tab w:val="left" w:pos="1080"/>
                <w:tab w:val="left" w:pos="1440"/>
                <w:tab w:val="left" w:pos="1800"/>
                <w:tab w:val="left" w:pos="2160"/>
              </w:tabs>
              <w:jc w:val="center"/>
              <w:rPr>
                <w:sz w:val="22"/>
              </w:rPr>
            </w:pPr>
          </w:p>
          <w:p w:rsidR="00000000" w:rsidRDefault="00C40079">
            <w:pPr>
              <w:tabs>
                <w:tab w:val="left" w:pos="360"/>
                <w:tab w:val="left" w:pos="720"/>
                <w:tab w:val="left" w:pos="1080"/>
                <w:tab w:val="left" w:pos="1440"/>
                <w:tab w:val="left" w:pos="1800"/>
                <w:tab w:val="left" w:pos="2160"/>
              </w:tabs>
              <w:jc w:val="center"/>
              <w:rPr>
                <w:b/>
                <w:sz w:val="22"/>
              </w:rPr>
            </w:pPr>
            <w:r>
              <w:rPr>
                <w:b/>
                <w:sz w:val="22"/>
              </w:rPr>
              <w:t>Source Sector</w:t>
            </w:r>
          </w:p>
        </w:tc>
        <w:tc>
          <w:tcPr>
            <w:tcW w:w="1440" w:type="dxa"/>
            <w:tcBorders>
              <w:top w:val="double" w:sz="4" w:space="0" w:color="auto"/>
              <w:left w:val="nil"/>
              <w:bottom w:val="single" w:sz="18"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 xml:space="preserve">Tons per </w:t>
            </w:r>
            <w:r>
              <w:rPr>
                <w:b/>
                <w:sz w:val="22"/>
              </w:rPr>
              <w:t>Summer Day</w:t>
            </w:r>
          </w:p>
        </w:tc>
        <w:tc>
          <w:tcPr>
            <w:tcW w:w="1548" w:type="dxa"/>
            <w:tcBorders>
              <w:top w:val="double" w:sz="4" w:space="0" w:color="auto"/>
              <w:bottom w:val="single" w:sz="18" w:space="0" w:color="000000"/>
              <w:right w:val="single" w:sz="12"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Tons per Year</w:t>
            </w:r>
          </w:p>
        </w:tc>
        <w:tc>
          <w:tcPr>
            <w:tcW w:w="1332" w:type="dxa"/>
            <w:tcBorders>
              <w:top w:val="double" w:sz="4" w:space="0" w:color="auto"/>
              <w:left w:val="nil"/>
              <w:bottom w:val="single" w:sz="18" w:space="0" w:color="000000"/>
              <w:right w:val="single" w:sz="18"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 of Total Annual Inventory</w:t>
            </w:r>
          </w:p>
        </w:tc>
        <w:tc>
          <w:tcPr>
            <w:tcW w:w="1440" w:type="dxa"/>
            <w:tcBorders>
              <w:top w:val="double" w:sz="4" w:space="0" w:color="auto"/>
              <w:left w:val="nil"/>
              <w:bottom w:val="single" w:sz="18"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Tons per Year</w:t>
            </w:r>
          </w:p>
        </w:tc>
        <w:tc>
          <w:tcPr>
            <w:tcW w:w="1440" w:type="dxa"/>
            <w:tcBorders>
              <w:top w:val="double" w:sz="4" w:space="0" w:color="auto"/>
              <w:bottom w:val="single" w:sz="18" w:space="0" w:color="000000"/>
              <w:right w:val="double" w:sz="4" w:space="0" w:color="auto"/>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 of Total Annual Inventory</w:t>
            </w:r>
          </w:p>
        </w:tc>
      </w:tr>
      <w:tr w:rsidR="00000000">
        <w:tblPrEx>
          <w:tblCellMar>
            <w:top w:w="0" w:type="dxa"/>
            <w:bottom w:w="0" w:type="dxa"/>
          </w:tblCellMar>
        </w:tblPrEx>
        <w:trPr>
          <w:jc w:val="center"/>
        </w:trPr>
        <w:tc>
          <w:tcPr>
            <w:tcW w:w="1800" w:type="dxa"/>
            <w:tcBorders>
              <w:top w:val="nil"/>
              <w:left w:val="double" w:sz="4" w:space="0" w:color="auto"/>
              <w:right w:val="single" w:sz="18" w:space="0" w:color="000000"/>
            </w:tcBorders>
          </w:tcPr>
          <w:p w:rsidR="00000000" w:rsidRDefault="00C40079">
            <w:pPr>
              <w:pStyle w:val="FootnoteText"/>
              <w:tabs>
                <w:tab w:val="left" w:pos="360"/>
                <w:tab w:val="left" w:pos="720"/>
                <w:tab w:val="left" w:pos="1080"/>
                <w:tab w:val="left" w:pos="1440"/>
                <w:tab w:val="left" w:pos="1800"/>
                <w:tab w:val="left" w:pos="2160"/>
              </w:tabs>
              <w:rPr>
                <w:rFonts w:ascii="Times New Roman" w:hAnsi="Times New Roman"/>
                <w:sz w:val="22"/>
              </w:rPr>
            </w:pPr>
            <w:r>
              <w:rPr>
                <w:rFonts w:ascii="Times New Roman" w:hAnsi="Times New Roman"/>
                <w:sz w:val="22"/>
              </w:rPr>
              <w:t>Point</w:t>
            </w:r>
          </w:p>
        </w:tc>
        <w:tc>
          <w:tcPr>
            <w:tcW w:w="1440" w:type="dxa"/>
            <w:tcBorders>
              <w:top w:val="nil"/>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89.35</w:t>
            </w:r>
          </w:p>
        </w:tc>
        <w:tc>
          <w:tcPr>
            <w:tcW w:w="1548" w:type="dxa"/>
            <w:tcBorders>
              <w:top w:val="nil"/>
              <w:right w:val="single" w:sz="12"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13,254</w:t>
            </w:r>
          </w:p>
        </w:tc>
        <w:tc>
          <w:tcPr>
            <w:tcW w:w="1332" w:type="dxa"/>
            <w:tcBorders>
              <w:top w:val="nil"/>
              <w:left w:val="nil"/>
              <w:right w:val="single" w:sz="18"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0.60%</w:t>
            </w:r>
          </w:p>
        </w:tc>
        <w:tc>
          <w:tcPr>
            <w:tcW w:w="1440" w:type="dxa"/>
            <w:tcBorders>
              <w:top w:val="nil"/>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5,555</w:t>
            </w:r>
          </w:p>
        </w:tc>
        <w:tc>
          <w:tcPr>
            <w:tcW w:w="1440" w:type="dxa"/>
            <w:tcBorders>
              <w:top w:val="nil"/>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13.37%</w:t>
            </w:r>
          </w:p>
        </w:tc>
      </w:tr>
      <w:tr w:rsidR="00000000">
        <w:tblPrEx>
          <w:tblCellMar>
            <w:top w:w="0" w:type="dxa"/>
            <w:bottom w:w="0" w:type="dxa"/>
          </w:tblCellMar>
        </w:tblPrEx>
        <w:trPr>
          <w:jc w:val="center"/>
        </w:trPr>
        <w:tc>
          <w:tcPr>
            <w:tcW w:w="1800" w:type="dxa"/>
            <w:tcBorders>
              <w:left w:val="double" w:sz="4" w:space="0" w:color="auto"/>
              <w:right w:val="single" w:sz="18"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 xml:space="preserve">Area </w:t>
            </w:r>
          </w:p>
        </w:tc>
        <w:tc>
          <w:tcPr>
            <w:tcW w:w="144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66.45</w:t>
            </w:r>
          </w:p>
        </w:tc>
        <w:tc>
          <w:tcPr>
            <w:tcW w:w="1548" w:type="dxa"/>
            <w:tcBorders>
              <w:right w:val="single" w:sz="12"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94,067</w:t>
            </w:r>
          </w:p>
        </w:tc>
        <w:tc>
          <w:tcPr>
            <w:tcW w:w="1332" w:type="dxa"/>
            <w:tcBorders>
              <w:left w:val="nil"/>
              <w:right w:val="single" w:sz="18"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4.26%</w:t>
            </w:r>
          </w:p>
        </w:tc>
        <w:tc>
          <w:tcPr>
            <w:tcW w:w="144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24,760</w:t>
            </w:r>
          </w:p>
        </w:tc>
        <w:tc>
          <w:tcPr>
            <w:tcW w:w="144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59.61%</w:t>
            </w:r>
          </w:p>
        </w:tc>
      </w:tr>
      <w:tr w:rsidR="00000000">
        <w:tblPrEx>
          <w:tblCellMar>
            <w:top w:w="0" w:type="dxa"/>
            <w:bottom w:w="0" w:type="dxa"/>
          </w:tblCellMar>
        </w:tblPrEx>
        <w:trPr>
          <w:jc w:val="center"/>
        </w:trPr>
        <w:tc>
          <w:tcPr>
            <w:tcW w:w="1800" w:type="dxa"/>
            <w:tcBorders>
              <w:left w:val="double" w:sz="4" w:space="0" w:color="auto"/>
              <w:right w:val="single" w:sz="18"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Onroad</w:t>
            </w:r>
          </w:p>
        </w:tc>
        <w:tc>
          <w:tcPr>
            <w:tcW w:w="144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2,856.37</w:t>
            </w:r>
          </w:p>
        </w:tc>
        <w:tc>
          <w:tcPr>
            <w:tcW w:w="1548" w:type="dxa"/>
            <w:tcBorders>
              <w:right w:val="single" w:sz="12"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1,421,004</w:t>
            </w:r>
          </w:p>
        </w:tc>
        <w:tc>
          <w:tcPr>
            <w:tcW w:w="1332" w:type="dxa"/>
            <w:tcBorders>
              <w:left w:val="nil"/>
              <w:right w:val="single" w:sz="18"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64.40%</w:t>
            </w:r>
          </w:p>
        </w:tc>
        <w:tc>
          <w:tcPr>
            <w:tcW w:w="144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4,718</w:t>
            </w:r>
          </w:p>
        </w:tc>
        <w:tc>
          <w:tcPr>
            <w:tcW w:w="144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11.36%</w:t>
            </w:r>
          </w:p>
        </w:tc>
      </w:tr>
      <w:tr w:rsidR="00000000">
        <w:tblPrEx>
          <w:tblCellMar>
            <w:top w:w="0" w:type="dxa"/>
            <w:bottom w:w="0" w:type="dxa"/>
          </w:tblCellMar>
        </w:tblPrEx>
        <w:trPr>
          <w:jc w:val="center"/>
        </w:trPr>
        <w:tc>
          <w:tcPr>
            <w:tcW w:w="1800" w:type="dxa"/>
            <w:tcBorders>
              <w:left w:val="double" w:sz="4" w:space="0" w:color="auto"/>
              <w:right w:val="single" w:sz="18"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Nonroad</w:t>
            </w:r>
          </w:p>
        </w:tc>
        <w:tc>
          <w:tcPr>
            <w:tcW w:w="144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2,497.80</w:t>
            </w:r>
          </w:p>
        </w:tc>
        <w:tc>
          <w:tcPr>
            <w:tcW w:w="1548" w:type="dxa"/>
            <w:tcBorders>
              <w:right w:val="single" w:sz="12"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665,944</w:t>
            </w:r>
          </w:p>
        </w:tc>
        <w:tc>
          <w:tcPr>
            <w:tcW w:w="1332" w:type="dxa"/>
            <w:tcBorders>
              <w:left w:val="nil"/>
              <w:right w:val="single" w:sz="18"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30.18%</w:t>
            </w:r>
          </w:p>
        </w:tc>
        <w:tc>
          <w:tcPr>
            <w:tcW w:w="144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w:t>
            </w:r>
            <w:r>
              <w:rPr>
                <w:snapToGrid w:val="0"/>
                <w:color w:val="000000"/>
                <w:sz w:val="22"/>
              </w:rPr>
              <w:t>505</w:t>
            </w:r>
          </w:p>
        </w:tc>
        <w:tc>
          <w:tcPr>
            <w:tcW w:w="144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15.66%</w:t>
            </w:r>
          </w:p>
        </w:tc>
      </w:tr>
      <w:tr w:rsidR="00000000">
        <w:tblPrEx>
          <w:tblCellMar>
            <w:top w:w="0" w:type="dxa"/>
            <w:bottom w:w="0" w:type="dxa"/>
          </w:tblCellMar>
        </w:tblPrEx>
        <w:trPr>
          <w:jc w:val="center"/>
        </w:trPr>
        <w:tc>
          <w:tcPr>
            <w:tcW w:w="1800" w:type="dxa"/>
            <w:tcBorders>
              <w:left w:val="double" w:sz="4" w:space="0" w:color="auto"/>
              <w:right w:val="single" w:sz="18"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Biogenic</w:t>
            </w:r>
          </w:p>
        </w:tc>
        <w:tc>
          <w:tcPr>
            <w:tcW w:w="144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34.09</w:t>
            </w:r>
          </w:p>
        </w:tc>
        <w:tc>
          <w:tcPr>
            <w:tcW w:w="1548" w:type="dxa"/>
            <w:tcBorders>
              <w:right w:val="single" w:sz="12"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12,450</w:t>
            </w:r>
          </w:p>
        </w:tc>
        <w:tc>
          <w:tcPr>
            <w:tcW w:w="1332" w:type="dxa"/>
            <w:tcBorders>
              <w:left w:val="nil"/>
              <w:right w:val="single" w:sz="18"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0.56%</w:t>
            </w:r>
          </w:p>
        </w:tc>
        <w:tc>
          <w:tcPr>
            <w:tcW w:w="144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w:t>
            </w:r>
          </w:p>
        </w:tc>
        <w:tc>
          <w:tcPr>
            <w:tcW w:w="144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0.00%</w:t>
            </w:r>
          </w:p>
        </w:tc>
      </w:tr>
      <w:tr w:rsidR="00000000">
        <w:tblPrEx>
          <w:tblCellMar>
            <w:top w:w="0" w:type="dxa"/>
            <w:bottom w:w="0" w:type="dxa"/>
          </w:tblCellMar>
        </w:tblPrEx>
        <w:trPr>
          <w:jc w:val="center"/>
        </w:trPr>
        <w:tc>
          <w:tcPr>
            <w:tcW w:w="1800" w:type="dxa"/>
            <w:tcBorders>
              <w:top w:val="single" w:sz="18" w:space="0" w:color="000000"/>
              <w:left w:val="double" w:sz="4" w:space="0" w:color="auto"/>
              <w:bottom w:val="double" w:sz="4" w:space="0" w:color="auto"/>
              <w:right w:val="single" w:sz="18" w:space="0" w:color="000000"/>
            </w:tcBorders>
          </w:tcPr>
          <w:p w:rsidR="00000000" w:rsidRDefault="00C40079">
            <w:pPr>
              <w:tabs>
                <w:tab w:val="left" w:pos="360"/>
                <w:tab w:val="left" w:pos="720"/>
                <w:tab w:val="left" w:pos="1080"/>
                <w:tab w:val="left" w:pos="1440"/>
                <w:tab w:val="left" w:pos="1800"/>
                <w:tab w:val="left" w:pos="2160"/>
              </w:tabs>
              <w:rPr>
                <w:b/>
                <w:sz w:val="22"/>
              </w:rPr>
            </w:pPr>
            <w:r>
              <w:rPr>
                <w:b/>
                <w:sz w:val="22"/>
              </w:rPr>
              <w:t>Total in State</w:t>
            </w:r>
          </w:p>
        </w:tc>
        <w:tc>
          <w:tcPr>
            <w:tcW w:w="1440" w:type="dxa"/>
            <w:tcBorders>
              <w:top w:val="single" w:sz="18" w:space="0" w:color="000000"/>
              <w:left w:val="nil"/>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5,544.06</w:t>
            </w:r>
          </w:p>
        </w:tc>
        <w:tc>
          <w:tcPr>
            <w:tcW w:w="1548" w:type="dxa"/>
            <w:tcBorders>
              <w:top w:val="single" w:sz="18" w:space="0" w:color="000000"/>
              <w:bottom w:val="double" w:sz="4" w:space="0" w:color="auto"/>
              <w:right w:val="single" w:sz="12"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2,206,719</w:t>
            </w:r>
          </w:p>
        </w:tc>
        <w:tc>
          <w:tcPr>
            <w:tcW w:w="1332" w:type="dxa"/>
            <w:tcBorders>
              <w:top w:val="single" w:sz="18" w:space="0" w:color="000000"/>
              <w:left w:val="nil"/>
              <w:bottom w:val="double" w:sz="4" w:space="0" w:color="auto"/>
              <w:right w:val="single" w:sz="18"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p>
        </w:tc>
        <w:tc>
          <w:tcPr>
            <w:tcW w:w="1440" w:type="dxa"/>
            <w:tcBorders>
              <w:top w:val="single" w:sz="18" w:space="0" w:color="000000"/>
              <w:left w:val="nil"/>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41,538</w:t>
            </w:r>
          </w:p>
        </w:tc>
        <w:tc>
          <w:tcPr>
            <w:tcW w:w="1440" w:type="dxa"/>
            <w:tcBorders>
              <w:top w:val="single" w:sz="18" w:space="0" w:color="000000"/>
              <w:bottom w:val="double" w:sz="4" w:space="0" w:color="auto"/>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p>
        </w:tc>
      </w:tr>
    </w:tbl>
    <w:p w:rsidR="00000000" w:rsidRDefault="00C40079">
      <w:pPr>
        <w:tabs>
          <w:tab w:val="left" w:pos="720"/>
          <w:tab w:val="left" w:pos="1080"/>
          <w:tab w:val="left" w:pos="1440"/>
          <w:tab w:val="left" w:pos="1800"/>
          <w:tab w:val="left" w:pos="2160"/>
        </w:tabs>
        <w:rPr>
          <w:sz w:val="24"/>
        </w:rPr>
      </w:pPr>
    </w:p>
    <w:tbl>
      <w:tblPr>
        <w:tblW w:w="0" w:type="auto"/>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AF" w:firstRow="1" w:lastRow="0" w:firstColumn="1" w:lastColumn="0" w:noHBand="0" w:noVBand="0"/>
      </w:tblPr>
      <w:tblGrid>
        <w:gridCol w:w="1800"/>
        <w:gridCol w:w="1440"/>
        <w:gridCol w:w="1440"/>
        <w:gridCol w:w="1440"/>
        <w:gridCol w:w="1440"/>
        <w:gridCol w:w="1440"/>
        <w:gridCol w:w="1440"/>
      </w:tblGrid>
      <w:tr w:rsidR="00000000">
        <w:tblPrEx>
          <w:tblCellMar>
            <w:top w:w="0" w:type="dxa"/>
            <w:bottom w:w="0" w:type="dxa"/>
          </w:tblCellMar>
        </w:tblPrEx>
        <w:trPr>
          <w:cantSplit/>
          <w:jc w:val="center"/>
        </w:trPr>
        <w:tc>
          <w:tcPr>
            <w:tcW w:w="1800" w:type="dxa"/>
            <w:tcBorders>
              <w:top w:val="double" w:sz="4" w:space="0" w:color="auto"/>
              <w:left w:val="double" w:sz="4" w:space="0" w:color="auto"/>
              <w:bottom w:val="single" w:sz="18" w:space="0" w:color="000000"/>
              <w:right w:val="single" w:sz="18" w:space="0" w:color="000000"/>
            </w:tcBorders>
          </w:tcPr>
          <w:p w:rsidR="00000000" w:rsidRDefault="00C40079">
            <w:pPr>
              <w:tabs>
                <w:tab w:val="left" w:pos="360"/>
                <w:tab w:val="left" w:pos="720"/>
                <w:tab w:val="left" w:pos="1080"/>
                <w:tab w:val="left" w:pos="1440"/>
                <w:tab w:val="left" w:pos="1800"/>
                <w:tab w:val="left" w:pos="2160"/>
              </w:tabs>
              <w:jc w:val="center"/>
              <w:rPr>
                <w:b/>
                <w:sz w:val="22"/>
              </w:rPr>
            </w:pPr>
          </w:p>
        </w:tc>
        <w:tc>
          <w:tcPr>
            <w:tcW w:w="2880" w:type="dxa"/>
            <w:gridSpan w:val="2"/>
            <w:tcBorders>
              <w:top w:val="double" w:sz="4" w:space="0" w:color="auto"/>
              <w:left w:val="nil"/>
              <w:bottom w:val="nil"/>
              <w:right w:val="single" w:sz="18"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PM</w:t>
            </w:r>
            <w:r>
              <w:rPr>
                <w:b/>
                <w:sz w:val="22"/>
                <w:vertAlign w:val="subscript"/>
              </w:rPr>
              <w:t>2.5</w:t>
            </w:r>
            <w:r>
              <w:rPr>
                <w:b/>
                <w:sz w:val="22"/>
                <w:vertAlign w:val="superscript"/>
              </w:rPr>
              <w:t>(1)</w:t>
            </w:r>
          </w:p>
        </w:tc>
        <w:tc>
          <w:tcPr>
            <w:tcW w:w="2880" w:type="dxa"/>
            <w:gridSpan w:val="2"/>
            <w:tcBorders>
              <w:top w:val="double" w:sz="4" w:space="0" w:color="auto"/>
              <w:left w:val="nil"/>
              <w:bottom w:val="nil"/>
              <w:right w:val="single" w:sz="18"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SO</w:t>
            </w:r>
            <w:r>
              <w:rPr>
                <w:b/>
                <w:sz w:val="22"/>
                <w:vertAlign w:val="subscript"/>
              </w:rPr>
              <w:t>2</w:t>
            </w:r>
          </w:p>
        </w:tc>
        <w:tc>
          <w:tcPr>
            <w:tcW w:w="2880" w:type="dxa"/>
            <w:gridSpan w:val="2"/>
            <w:tcBorders>
              <w:top w:val="double" w:sz="4" w:space="0" w:color="auto"/>
              <w:left w:val="nil"/>
              <w:bottom w:val="single" w:sz="18" w:space="0" w:color="000000"/>
              <w:right w:val="double" w:sz="4" w:space="0" w:color="auto"/>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NH</w:t>
            </w:r>
            <w:r>
              <w:rPr>
                <w:b/>
                <w:sz w:val="22"/>
                <w:vertAlign w:val="subscript"/>
              </w:rPr>
              <w:t>3</w:t>
            </w:r>
          </w:p>
        </w:tc>
      </w:tr>
      <w:tr w:rsidR="00000000">
        <w:tblPrEx>
          <w:tblCellMar>
            <w:top w:w="0" w:type="dxa"/>
            <w:bottom w:w="0" w:type="dxa"/>
          </w:tblCellMar>
        </w:tblPrEx>
        <w:trPr>
          <w:cantSplit/>
          <w:jc w:val="center"/>
        </w:trPr>
        <w:tc>
          <w:tcPr>
            <w:tcW w:w="1800" w:type="dxa"/>
            <w:tcBorders>
              <w:top w:val="double" w:sz="4" w:space="0" w:color="auto"/>
              <w:left w:val="double" w:sz="4" w:space="0" w:color="auto"/>
              <w:bottom w:val="single" w:sz="18" w:space="0" w:color="000000"/>
              <w:right w:val="single" w:sz="18" w:space="0" w:color="000000"/>
            </w:tcBorders>
            <w:vAlign w:val="center"/>
          </w:tcPr>
          <w:p w:rsidR="00000000" w:rsidRDefault="00C40079">
            <w:pPr>
              <w:tabs>
                <w:tab w:val="left" w:pos="360"/>
                <w:tab w:val="left" w:pos="720"/>
                <w:tab w:val="left" w:pos="1080"/>
                <w:tab w:val="left" w:pos="1440"/>
                <w:tab w:val="left" w:pos="1800"/>
                <w:tab w:val="left" w:pos="2160"/>
              </w:tabs>
              <w:jc w:val="center"/>
              <w:rPr>
                <w:b/>
                <w:sz w:val="22"/>
              </w:rPr>
            </w:pPr>
            <w:r>
              <w:rPr>
                <w:b/>
                <w:sz w:val="22"/>
              </w:rPr>
              <w:t>Source Sector</w:t>
            </w:r>
          </w:p>
        </w:tc>
        <w:tc>
          <w:tcPr>
            <w:tcW w:w="1440" w:type="dxa"/>
            <w:tcBorders>
              <w:top w:val="single" w:sz="18" w:space="0" w:color="000000"/>
              <w:left w:val="nil"/>
              <w:bottom w:val="single" w:sz="18" w:space="0" w:color="000000"/>
              <w:right w:val="single" w:sz="2"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Tons per Year</w:t>
            </w:r>
          </w:p>
        </w:tc>
        <w:tc>
          <w:tcPr>
            <w:tcW w:w="1440" w:type="dxa"/>
            <w:tcBorders>
              <w:top w:val="single" w:sz="18" w:space="0" w:color="000000"/>
              <w:left w:val="nil"/>
              <w:bottom w:val="single" w:sz="18" w:space="0" w:color="000000"/>
              <w:right w:val="single" w:sz="18"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 of Total Inventory</w:t>
            </w:r>
          </w:p>
        </w:tc>
        <w:tc>
          <w:tcPr>
            <w:tcW w:w="1440" w:type="dxa"/>
            <w:tcBorders>
              <w:top w:val="single" w:sz="18" w:space="0" w:color="000000"/>
              <w:left w:val="nil"/>
              <w:bottom w:val="single" w:sz="18" w:space="0" w:color="000000"/>
              <w:right w:val="single" w:sz="2"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Tons per Year</w:t>
            </w:r>
          </w:p>
        </w:tc>
        <w:tc>
          <w:tcPr>
            <w:tcW w:w="1440" w:type="dxa"/>
            <w:tcBorders>
              <w:top w:val="single" w:sz="18" w:space="0" w:color="000000"/>
              <w:left w:val="nil"/>
              <w:bottom w:val="single" w:sz="18" w:space="0" w:color="000000"/>
              <w:right w:val="single" w:sz="18"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 of Total Inventory</w:t>
            </w:r>
          </w:p>
        </w:tc>
        <w:tc>
          <w:tcPr>
            <w:tcW w:w="1440" w:type="dxa"/>
            <w:tcBorders>
              <w:top w:val="double" w:sz="4" w:space="0" w:color="auto"/>
              <w:left w:val="nil"/>
              <w:bottom w:val="single" w:sz="18"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Tons per Year</w:t>
            </w:r>
          </w:p>
        </w:tc>
        <w:tc>
          <w:tcPr>
            <w:tcW w:w="1440" w:type="dxa"/>
            <w:tcBorders>
              <w:top w:val="double" w:sz="4" w:space="0" w:color="auto"/>
              <w:bottom w:val="single" w:sz="18" w:space="0" w:color="000000"/>
              <w:right w:val="double" w:sz="4" w:space="0" w:color="auto"/>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 of Total Inventory</w:t>
            </w:r>
          </w:p>
        </w:tc>
      </w:tr>
      <w:tr w:rsidR="00000000">
        <w:tblPrEx>
          <w:tblCellMar>
            <w:top w:w="0" w:type="dxa"/>
            <w:bottom w:w="0" w:type="dxa"/>
          </w:tblCellMar>
        </w:tblPrEx>
        <w:trPr>
          <w:cantSplit/>
          <w:jc w:val="center"/>
        </w:trPr>
        <w:tc>
          <w:tcPr>
            <w:tcW w:w="1800" w:type="dxa"/>
            <w:tcBorders>
              <w:top w:val="nil"/>
              <w:left w:val="double" w:sz="4" w:space="0" w:color="auto"/>
              <w:right w:val="single" w:sz="18" w:space="0" w:color="000000"/>
            </w:tcBorders>
          </w:tcPr>
          <w:p w:rsidR="00000000" w:rsidRDefault="00C40079">
            <w:pPr>
              <w:pStyle w:val="FootnoteText"/>
              <w:tabs>
                <w:tab w:val="left" w:pos="360"/>
                <w:tab w:val="left" w:pos="720"/>
                <w:tab w:val="left" w:pos="1080"/>
                <w:tab w:val="left" w:pos="1440"/>
                <w:tab w:val="left" w:pos="1800"/>
                <w:tab w:val="left" w:pos="2160"/>
              </w:tabs>
              <w:rPr>
                <w:rFonts w:ascii="Times New Roman" w:hAnsi="Times New Roman"/>
                <w:sz w:val="22"/>
              </w:rPr>
            </w:pPr>
            <w:r>
              <w:rPr>
                <w:rFonts w:ascii="Times New Roman" w:hAnsi="Times New Roman"/>
                <w:sz w:val="22"/>
              </w:rPr>
              <w:t>Point</w:t>
            </w:r>
          </w:p>
        </w:tc>
        <w:tc>
          <w:tcPr>
            <w:tcW w:w="1440" w:type="dxa"/>
            <w:tcBorders>
              <w:top w:val="nil"/>
              <w:left w:val="nil"/>
              <w:bottom w:val="single" w:sz="6"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4,868</w:t>
            </w:r>
          </w:p>
        </w:tc>
        <w:tc>
          <w:tcPr>
            <w:tcW w:w="1440" w:type="dxa"/>
            <w:tcBorders>
              <w:top w:val="nil"/>
              <w:left w:val="nil"/>
              <w:bottom w:val="single" w:sz="6" w:space="0" w:color="000000"/>
              <w:right w:val="single" w:sz="18"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16.02%</w:t>
            </w:r>
          </w:p>
        </w:tc>
        <w:tc>
          <w:tcPr>
            <w:tcW w:w="1440" w:type="dxa"/>
            <w:tcBorders>
              <w:top w:val="nil"/>
              <w:left w:val="nil"/>
              <w:bottom w:val="single" w:sz="6"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61,2</w:t>
            </w:r>
            <w:r>
              <w:rPr>
                <w:snapToGrid w:val="0"/>
                <w:color w:val="000000"/>
                <w:sz w:val="22"/>
              </w:rPr>
              <w:t>31</w:t>
            </w:r>
          </w:p>
        </w:tc>
        <w:tc>
          <w:tcPr>
            <w:tcW w:w="1440" w:type="dxa"/>
            <w:tcBorders>
              <w:top w:val="nil"/>
              <w:left w:val="nil"/>
              <w:bottom w:val="single" w:sz="6" w:space="0" w:color="000000"/>
              <w:right w:val="single" w:sz="18"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64.68%</w:t>
            </w:r>
          </w:p>
        </w:tc>
        <w:tc>
          <w:tcPr>
            <w:tcW w:w="1440" w:type="dxa"/>
            <w:tcBorders>
              <w:top w:val="nil"/>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38</w:t>
            </w:r>
          </w:p>
        </w:tc>
        <w:tc>
          <w:tcPr>
            <w:tcW w:w="1440" w:type="dxa"/>
            <w:tcBorders>
              <w:top w:val="nil"/>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0.15%</w:t>
            </w:r>
          </w:p>
        </w:tc>
      </w:tr>
      <w:tr w:rsidR="00000000">
        <w:tblPrEx>
          <w:tblCellMar>
            <w:top w:w="0" w:type="dxa"/>
            <w:bottom w:w="0" w:type="dxa"/>
          </w:tblCellMar>
        </w:tblPrEx>
        <w:trPr>
          <w:cantSplit/>
          <w:jc w:val="center"/>
        </w:trPr>
        <w:tc>
          <w:tcPr>
            <w:tcW w:w="1800" w:type="dxa"/>
            <w:tcBorders>
              <w:left w:val="double" w:sz="4" w:space="0" w:color="auto"/>
              <w:right w:val="single" w:sz="18"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 xml:space="preserve">Area </w:t>
            </w:r>
          </w:p>
        </w:tc>
        <w:tc>
          <w:tcPr>
            <w:tcW w:w="1440" w:type="dxa"/>
            <w:tcBorders>
              <w:top w:val="nil"/>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16,230</w:t>
            </w:r>
          </w:p>
        </w:tc>
        <w:tc>
          <w:tcPr>
            <w:tcW w:w="1440" w:type="dxa"/>
            <w:tcBorders>
              <w:top w:val="nil"/>
              <w:left w:val="nil"/>
              <w:right w:val="single" w:sz="18"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53.42%</w:t>
            </w:r>
          </w:p>
        </w:tc>
        <w:tc>
          <w:tcPr>
            <w:tcW w:w="1440" w:type="dxa"/>
            <w:tcBorders>
              <w:top w:val="nil"/>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10,876</w:t>
            </w:r>
          </w:p>
        </w:tc>
        <w:tc>
          <w:tcPr>
            <w:tcW w:w="1440" w:type="dxa"/>
            <w:tcBorders>
              <w:top w:val="nil"/>
              <w:left w:val="nil"/>
              <w:right w:val="single" w:sz="18"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11.49%</w:t>
            </w:r>
          </w:p>
        </w:tc>
        <w:tc>
          <w:tcPr>
            <w:tcW w:w="144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8,005</w:t>
            </w:r>
          </w:p>
        </w:tc>
        <w:tc>
          <w:tcPr>
            <w:tcW w:w="144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31.38%</w:t>
            </w:r>
          </w:p>
        </w:tc>
      </w:tr>
      <w:tr w:rsidR="00000000">
        <w:tblPrEx>
          <w:tblCellMar>
            <w:top w:w="0" w:type="dxa"/>
            <w:bottom w:w="0" w:type="dxa"/>
          </w:tblCellMar>
        </w:tblPrEx>
        <w:trPr>
          <w:cantSplit/>
          <w:jc w:val="center"/>
        </w:trPr>
        <w:tc>
          <w:tcPr>
            <w:tcW w:w="1800" w:type="dxa"/>
            <w:tcBorders>
              <w:left w:val="double" w:sz="4" w:space="0" w:color="auto"/>
              <w:right w:val="single" w:sz="18"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Onroad</w:t>
            </w:r>
          </w:p>
        </w:tc>
        <w:tc>
          <w:tcPr>
            <w:tcW w:w="1440" w:type="dxa"/>
            <w:tcBorders>
              <w:left w:val="nil"/>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3,361</w:t>
            </w:r>
          </w:p>
        </w:tc>
        <w:tc>
          <w:tcPr>
            <w:tcW w:w="1440" w:type="dxa"/>
            <w:tcBorders>
              <w:left w:val="nil"/>
              <w:bottom w:val="nil"/>
              <w:right w:val="single" w:sz="18"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11.07%</w:t>
            </w:r>
          </w:p>
        </w:tc>
        <w:tc>
          <w:tcPr>
            <w:tcW w:w="1440" w:type="dxa"/>
            <w:tcBorders>
              <w:left w:val="nil"/>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5,793</w:t>
            </w:r>
          </w:p>
        </w:tc>
        <w:tc>
          <w:tcPr>
            <w:tcW w:w="1440" w:type="dxa"/>
            <w:tcBorders>
              <w:left w:val="nil"/>
              <w:bottom w:val="nil"/>
              <w:right w:val="single" w:sz="18"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6.12%</w:t>
            </w:r>
          </w:p>
        </w:tc>
        <w:tc>
          <w:tcPr>
            <w:tcW w:w="1440" w:type="dxa"/>
            <w:tcBorders>
              <w:left w:val="nil"/>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7,469</w:t>
            </w:r>
          </w:p>
        </w:tc>
        <w:tc>
          <w:tcPr>
            <w:tcW w:w="1440" w:type="dxa"/>
            <w:tcBorders>
              <w:bottom w:val="nil"/>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29.27%</w:t>
            </w:r>
          </w:p>
        </w:tc>
      </w:tr>
      <w:tr w:rsidR="00000000">
        <w:tblPrEx>
          <w:tblCellMar>
            <w:top w:w="0" w:type="dxa"/>
            <w:bottom w:w="0" w:type="dxa"/>
          </w:tblCellMar>
        </w:tblPrEx>
        <w:trPr>
          <w:cantSplit/>
          <w:jc w:val="center"/>
        </w:trPr>
        <w:tc>
          <w:tcPr>
            <w:tcW w:w="1800" w:type="dxa"/>
            <w:tcBorders>
              <w:left w:val="double" w:sz="4" w:space="0" w:color="auto"/>
              <w:right w:val="single" w:sz="18"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Nonroad</w:t>
            </w:r>
          </w:p>
        </w:tc>
        <w:tc>
          <w:tcPr>
            <w:tcW w:w="1440" w:type="dxa"/>
            <w:tcBorders>
              <w:top w:val="single" w:sz="4" w:space="0" w:color="auto"/>
              <w:left w:val="nil"/>
              <w:bottom w:val="single" w:sz="4" w:space="0" w:color="auto"/>
              <w:righ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5,922</w:t>
            </w:r>
          </w:p>
        </w:tc>
        <w:tc>
          <w:tcPr>
            <w:tcW w:w="1440" w:type="dxa"/>
            <w:tcBorders>
              <w:top w:val="single" w:sz="2" w:space="0" w:color="auto"/>
              <w:left w:val="single" w:sz="2" w:space="0" w:color="auto"/>
              <w:bottom w:val="single" w:sz="2" w:space="0" w:color="auto"/>
              <w:right w:val="single" w:sz="18"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19.49%</w:t>
            </w:r>
          </w:p>
        </w:tc>
        <w:tc>
          <w:tcPr>
            <w:tcW w:w="1440" w:type="dxa"/>
            <w:tcBorders>
              <w:top w:val="single" w:sz="4" w:space="0" w:color="auto"/>
              <w:left w:val="nil"/>
              <w:bottom w:val="single" w:sz="4" w:space="0" w:color="auto"/>
              <w:righ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16,772</w:t>
            </w:r>
          </w:p>
        </w:tc>
        <w:tc>
          <w:tcPr>
            <w:tcW w:w="1440" w:type="dxa"/>
            <w:tcBorders>
              <w:top w:val="single" w:sz="2" w:space="0" w:color="auto"/>
              <w:left w:val="single" w:sz="2" w:space="0" w:color="auto"/>
              <w:bottom w:val="single" w:sz="2" w:space="0" w:color="auto"/>
              <w:right w:val="single" w:sz="18"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17.71%</w:t>
            </w:r>
          </w:p>
        </w:tc>
        <w:tc>
          <w:tcPr>
            <w:tcW w:w="1440" w:type="dxa"/>
            <w:tcBorders>
              <w:top w:val="single" w:sz="4" w:space="0" w:color="auto"/>
              <w:left w:val="nil"/>
              <w:bottom w:val="single" w:sz="4" w:space="0" w:color="auto"/>
              <w:righ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970</w:t>
            </w:r>
          </w:p>
        </w:tc>
        <w:tc>
          <w:tcPr>
            <w:tcW w:w="1440" w:type="dxa"/>
            <w:tcBorders>
              <w:top w:val="single" w:sz="4" w:space="0" w:color="auto"/>
              <w:left w:val="single" w:sz="4" w:space="0" w:color="auto"/>
              <w:bottom w:val="single" w:sz="4" w:space="0" w:color="auto"/>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3.80%</w:t>
            </w:r>
          </w:p>
        </w:tc>
      </w:tr>
      <w:tr w:rsidR="00000000">
        <w:tblPrEx>
          <w:tblCellMar>
            <w:top w:w="0" w:type="dxa"/>
            <w:bottom w:w="0" w:type="dxa"/>
          </w:tblCellMar>
        </w:tblPrEx>
        <w:trPr>
          <w:cantSplit/>
          <w:jc w:val="center"/>
        </w:trPr>
        <w:tc>
          <w:tcPr>
            <w:tcW w:w="1800" w:type="dxa"/>
            <w:tcBorders>
              <w:left w:val="double" w:sz="4" w:space="0" w:color="auto"/>
              <w:right w:val="single" w:sz="18"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Biogenic</w:t>
            </w:r>
          </w:p>
        </w:tc>
        <w:tc>
          <w:tcPr>
            <w:tcW w:w="1440" w:type="dxa"/>
            <w:tcBorders>
              <w:top w:val="nil"/>
              <w:left w:val="nil"/>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w:t>
            </w:r>
          </w:p>
        </w:tc>
        <w:tc>
          <w:tcPr>
            <w:tcW w:w="1440" w:type="dxa"/>
            <w:tcBorders>
              <w:top w:val="nil"/>
              <w:left w:val="nil"/>
              <w:bottom w:val="nil"/>
              <w:right w:val="single" w:sz="18"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0.00%</w:t>
            </w:r>
          </w:p>
        </w:tc>
        <w:tc>
          <w:tcPr>
            <w:tcW w:w="1440" w:type="dxa"/>
            <w:tcBorders>
              <w:top w:val="nil"/>
              <w:left w:val="nil"/>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w:t>
            </w:r>
          </w:p>
        </w:tc>
        <w:tc>
          <w:tcPr>
            <w:tcW w:w="1440" w:type="dxa"/>
            <w:tcBorders>
              <w:top w:val="nil"/>
              <w:left w:val="nil"/>
              <w:bottom w:val="nil"/>
              <w:right w:val="single" w:sz="18"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0.00%</w:t>
            </w:r>
          </w:p>
        </w:tc>
        <w:tc>
          <w:tcPr>
            <w:tcW w:w="1440" w:type="dxa"/>
            <w:tcBorders>
              <w:top w:val="nil"/>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9,032</w:t>
            </w:r>
          </w:p>
        </w:tc>
        <w:tc>
          <w:tcPr>
            <w:tcW w:w="1440" w:type="dxa"/>
            <w:tcBorders>
              <w:top w:val="nil"/>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35.40%</w:t>
            </w:r>
          </w:p>
        </w:tc>
      </w:tr>
      <w:tr w:rsidR="00000000">
        <w:tblPrEx>
          <w:tblCellMar>
            <w:top w:w="0" w:type="dxa"/>
            <w:bottom w:w="0" w:type="dxa"/>
          </w:tblCellMar>
        </w:tblPrEx>
        <w:trPr>
          <w:cantSplit/>
          <w:jc w:val="center"/>
        </w:trPr>
        <w:tc>
          <w:tcPr>
            <w:tcW w:w="1800" w:type="dxa"/>
            <w:tcBorders>
              <w:top w:val="single" w:sz="18" w:space="0" w:color="000000"/>
              <w:left w:val="double" w:sz="4" w:space="0" w:color="auto"/>
              <w:bottom w:val="double" w:sz="4" w:space="0" w:color="auto"/>
              <w:right w:val="single" w:sz="18" w:space="0" w:color="000000"/>
            </w:tcBorders>
          </w:tcPr>
          <w:p w:rsidR="00000000" w:rsidRDefault="00C40079">
            <w:pPr>
              <w:tabs>
                <w:tab w:val="left" w:pos="360"/>
                <w:tab w:val="left" w:pos="720"/>
                <w:tab w:val="left" w:pos="1080"/>
                <w:tab w:val="left" w:pos="1440"/>
                <w:tab w:val="left" w:pos="1800"/>
                <w:tab w:val="left" w:pos="2160"/>
              </w:tabs>
              <w:rPr>
                <w:b/>
                <w:sz w:val="22"/>
              </w:rPr>
            </w:pPr>
            <w:r>
              <w:rPr>
                <w:b/>
                <w:sz w:val="22"/>
              </w:rPr>
              <w:t>Total in State</w:t>
            </w:r>
          </w:p>
        </w:tc>
        <w:tc>
          <w:tcPr>
            <w:tcW w:w="1440" w:type="dxa"/>
            <w:tcBorders>
              <w:top w:val="single" w:sz="18" w:space="0" w:color="000000"/>
              <w:left w:val="nil"/>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30,381</w:t>
            </w:r>
          </w:p>
        </w:tc>
        <w:tc>
          <w:tcPr>
            <w:tcW w:w="1440" w:type="dxa"/>
            <w:tcBorders>
              <w:top w:val="single" w:sz="18" w:space="0" w:color="000000"/>
              <w:left w:val="nil"/>
              <w:bottom w:val="double" w:sz="4" w:space="0" w:color="auto"/>
              <w:right w:val="single" w:sz="18"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p>
        </w:tc>
        <w:tc>
          <w:tcPr>
            <w:tcW w:w="1440" w:type="dxa"/>
            <w:tcBorders>
              <w:top w:val="single" w:sz="18" w:space="0" w:color="000000"/>
              <w:left w:val="nil"/>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94,672</w:t>
            </w:r>
          </w:p>
        </w:tc>
        <w:tc>
          <w:tcPr>
            <w:tcW w:w="1440" w:type="dxa"/>
            <w:tcBorders>
              <w:top w:val="single" w:sz="18" w:space="0" w:color="000000"/>
              <w:left w:val="nil"/>
              <w:bottom w:val="double" w:sz="4" w:space="0" w:color="auto"/>
              <w:right w:val="single" w:sz="18"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p>
        </w:tc>
        <w:tc>
          <w:tcPr>
            <w:tcW w:w="1440" w:type="dxa"/>
            <w:tcBorders>
              <w:top w:val="single" w:sz="18" w:space="0" w:color="000000"/>
              <w:left w:val="nil"/>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25,514</w:t>
            </w:r>
          </w:p>
        </w:tc>
        <w:tc>
          <w:tcPr>
            <w:tcW w:w="1440" w:type="dxa"/>
            <w:tcBorders>
              <w:top w:val="single" w:sz="18" w:space="0" w:color="000000"/>
              <w:bottom w:val="double" w:sz="4" w:space="0" w:color="auto"/>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p>
        </w:tc>
      </w:tr>
    </w:tbl>
    <w:p w:rsidR="00000000" w:rsidRDefault="00C40079">
      <w:pPr>
        <w:tabs>
          <w:tab w:val="left" w:pos="720"/>
          <w:tab w:val="left" w:pos="1080"/>
          <w:tab w:val="left" w:pos="1440"/>
          <w:tab w:val="left" w:pos="1800"/>
          <w:tab w:val="left" w:pos="2160"/>
        </w:tabs>
        <w:rPr>
          <w:sz w:val="22"/>
        </w:rPr>
      </w:pPr>
      <w:r>
        <w:rPr>
          <w:sz w:val="22"/>
        </w:rPr>
        <w:t>NOTE:</w:t>
      </w:r>
    </w:p>
    <w:p w:rsidR="00000000" w:rsidRDefault="00C40079">
      <w:pPr>
        <w:numPr>
          <w:ilvl w:val="0"/>
          <w:numId w:val="52"/>
        </w:numPr>
        <w:tabs>
          <w:tab w:val="left" w:pos="720"/>
          <w:tab w:val="left" w:pos="1080"/>
          <w:tab w:val="left" w:pos="1440"/>
          <w:tab w:val="left" w:pos="1800"/>
          <w:tab w:val="left" w:pos="2160"/>
        </w:tabs>
        <w:rPr>
          <w:sz w:val="22"/>
        </w:rPr>
      </w:pPr>
      <w:r>
        <w:rPr>
          <w:sz w:val="22"/>
        </w:rPr>
        <w:t>These total</w:t>
      </w:r>
      <w:r>
        <w:rPr>
          <w:sz w:val="22"/>
        </w:rPr>
        <w:t>s include adjusted emissions from fugitive dust categories. See Attachment 2 for further discussion.</w:t>
      </w:r>
    </w:p>
    <w:p w:rsidR="00000000" w:rsidRDefault="00C40079">
      <w:pPr>
        <w:pStyle w:val="Level2"/>
        <w:widowControl/>
        <w:tabs>
          <w:tab w:val="left" w:pos="720"/>
          <w:tab w:val="left" w:pos="1080"/>
          <w:tab w:val="left" w:pos="1440"/>
          <w:tab w:val="left" w:pos="1800"/>
          <w:tab w:val="left" w:pos="2160"/>
        </w:tabs>
      </w:pPr>
      <w:r>
        <w:br w:type="page"/>
      </w:r>
    </w:p>
    <w:p w:rsidR="00000000" w:rsidRDefault="00C40079">
      <w:pPr>
        <w:pStyle w:val="Heading5"/>
        <w:tabs>
          <w:tab w:val="left" w:pos="720"/>
          <w:tab w:val="left" w:pos="1080"/>
          <w:tab w:val="left" w:pos="1440"/>
          <w:tab w:val="left" w:pos="1800"/>
          <w:tab w:val="left" w:pos="2160"/>
        </w:tabs>
        <w:jc w:val="center"/>
        <w:rPr>
          <w:b/>
        </w:rPr>
      </w:pPr>
      <w:bookmarkStart w:id="203" w:name="Table_XVIII"/>
      <w:bookmarkStart w:id="204" w:name="_Hlt126641954"/>
      <w:bookmarkEnd w:id="204"/>
      <w:r>
        <w:rPr>
          <w:b/>
        </w:rPr>
        <w:t>Table XVI</w:t>
      </w:r>
      <w:bookmarkEnd w:id="203"/>
      <w:r>
        <w:rPr>
          <w:b/>
        </w:rPr>
        <w:t>II</w:t>
      </w:r>
    </w:p>
    <w:p w:rsidR="00000000" w:rsidRDefault="00C40079">
      <w:pPr>
        <w:pStyle w:val="Heading5"/>
        <w:tabs>
          <w:tab w:val="left" w:pos="720"/>
          <w:tab w:val="left" w:pos="1080"/>
          <w:tab w:val="left" w:pos="1440"/>
          <w:tab w:val="left" w:pos="1800"/>
          <w:tab w:val="left" w:pos="2160"/>
        </w:tabs>
        <w:jc w:val="center"/>
        <w:rPr>
          <w:b/>
        </w:rPr>
      </w:pPr>
      <w:r>
        <w:rPr>
          <w:b/>
        </w:rPr>
        <w:t>2002 Statewide Emission Inventory by County and Pollutant</w:t>
      </w:r>
    </w:p>
    <w:p w:rsidR="00000000" w:rsidRDefault="00C40079">
      <w:pPr>
        <w:tabs>
          <w:tab w:val="left" w:pos="720"/>
          <w:tab w:val="left" w:pos="1080"/>
          <w:tab w:val="left" w:pos="1440"/>
          <w:tab w:val="left" w:pos="1800"/>
          <w:tab w:val="left" w:pos="2160"/>
        </w:tabs>
        <w:rPr>
          <w:sz w:val="24"/>
        </w:rPr>
      </w:pPr>
    </w:p>
    <w:tbl>
      <w:tblPr>
        <w:tblW w:w="0" w:type="auto"/>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AF" w:firstRow="1" w:lastRow="0" w:firstColumn="1" w:lastColumn="0" w:noHBand="0" w:noVBand="0"/>
      </w:tblPr>
      <w:tblGrid>
        <w:gridCol w:w="1800"/>
        <w:gridCol w:w="1620"/>
        <w:gridCol w:w="1260"/>
        <w:gridCol w:w="1620"/>
        <w:gridCol w:w="1260"/>
        <w:gridCol w:w="1620"/>
        <w:gridCol w:w="1260"/>
      </w:tblGrid>
      <w:tr w:rsidR="00000000">
        <w:tblPrEx>
          <w:tblCellMar>
            <w:top w:w="0" w:type="dxa"/>
            <w:bottom w:w="0" w:type="dxa"/>
          </w:tblCellMar>
        </w:tblPrEx>
        <w:trPr>
          <w:cantSplit/>
          <w:trHeight w:val="465"/>
          <w:jc w:val="center"/>
        </w:trPr>
        <w:tc>
          <w:tcPr>
            <w:tcW w:w="1800" w:type="dxa"/>
            <w:tcBorders>
              <w:top w:val="double" w:sz="4" w:space="0" w:color="auto"/>
              <w:left w:val="double" w:sz="4" w:space="0" w:color="auto"/>
              <w:bottom w:val="single" w:sz="18" w:space="0" w:color="000000"/>
            </w:tcBorders>
          </w:tcPr>
          <w:p w:rsidR="00000000" w:rsidRDefault="00C40079">
            <w:pPr>
              <w:tabs>
                <w:tab w:val="left" w:pos="360"/>
                <w:tab w:val="left" w:pos="720"/>
                <w:tab w:val="left" w:pos="1080"/>
                <w:tab w:val="left" w:pos="1440"/>
                <w:tab w:val="left" w:pos="1800"/>
                <w:tab w:val="left" w:pos="2160"/>
              </w:tabs>
              <w:jc w:val="center"/>
              <w:rPr>
                <w:sz w:val="22"/>
              </w:rPr>
            </w:pPr>
          </w:p>
        </w:tc>
        <w:tc>
          <w:tcPr>
            <w:tcW w:w="2880" w:type="dxa"/>
            <w:gridSpan w:val="2"/>
            <w:tcBorders>
              <w:top w:val="double" w:sz="4" w:space="0" w:color="auto"/>
              <w:bottom w:val="single" w:sz="18" w:space="0" w:color="000000"/>
            </w:tcBorders>
            <w:vAlign w:val="center"/>
          </w:tcPr>
          <w:p w:rsidR="00000000" w:rsidRDefault="00C40079">
            <w:pPr>
              <w:tabs>
                <w:tab w:val="left" w:pos="360"/>
                <w:tab w:val="left" w:pos="720"/>
                <w:tab w:val="left" w:pos="1080"/>
                <w:tab w:val="left" w:pos="1440"/>
                <w:tab w:val="left" w:pos="1800"/>
                <w:tab w:val="left" w:pos="2160"/>
              </w:tabs>
              <w:jc w:val="center"/>
              <w:rPr>
                <w:b/>
                <w:sz w:val="22"/>
              </w:rPr>
            </w:pPr>
            <w:r>
              <w:rPr>
                <w:b/>
                <w:sz w:val="22"/>
              </w:rPr>
              <w:t>VOC</w:t>
            </w:r>
          </w:p>
        </w:tc>
        <w:tc>
          <w:tcPr>
            <w:tcW w:w="2880" w:type="dxa"/>
            <w:gridSpan w:val="2"/>
            <w:tcBorders>
              <w:top w:val="double" w:sz="4" w:space="0" w:color="auto"/>
              <w:bottom w:val="single" w:sz="18" w:space="0" w:color="000000"/>
            </w:tcBorders>
            <w:vAlign w:val="center"/>
          </w:tcPr>
          <w:p w:rsidR="00000000" w:rsidRDefault="00C40079">
            <w:pPr>
              <w:tabs>
                <w:tab w:val="left" w:pos="360"/>
                <w:tab w:val="left" w:pos="720"/>
                <w:tab w:val="left" w:pos="1080"/>
                <w:tab w:val="left" w:pos="1440"/>
                <w:tab w:val="left" w:pos="1800"/>
                <w:tab w:val="left" w:pos="2160"/>
              </w:tabs>
              <w:jc w:val="center"/>
              <w:rPr>
                <w:b/>
                <w:sz w:val="22"/>
              </w:rPr>
            </w:pPr>
            <w:r>
              <w:rPr>
                <w:b/>
                <w:sz w:val="22"/>
              </w:rPr>
              <w:t>NO</w:t>
            </w:r>
            <w:r>
              <w:rPr>
                <w:b/>
                <w:sz w:val="22"/>
                <w:vertAlign w:val="subscript"/>
              </w:rPr>
              <w:t>x</w:t>
            </w:r>
          </w:p>
        </w:tc>
        <w:tc>
          <w:tcPr>
            <w:tcW w:w="2880" w:type="dxa"/>
            <w:gridSpan w:val="2"/>
            <w:tcBorders>
              <w:top w:val="double" w:sz="4" w:space="0" w:color="auto"/>
              <w:bottom w:val="single" w:sz="18" w:space="0" w:color="000000"/>
              <w:right w:val="double" w:sz="4" w:space="0" w:color="auto"/>
            </w:tcBorders>
            <w:vAlign w:val="center"/>
          </w:tcPr>
          <w:p w:rsidR="00000000" w:rsidRDefault="00C40079">
            <w:pPr>
              <w:tabs>
                <w:tab w:val="left" w:pos="360"/>
                <w:tab w:val="left" w:pos="720"/>
                <w:tab w:val="left" w:pos="1080"/>
                <w:tab w:val="left" w:pos="1440"/>
                <w:tab w:val="left" w:pos="1800"/>
                <w:tab w:val="left" w:pos="2160"/>
              </w:tabs>
              <w:jc w:val="center"/>
              <w:rPr>
                <w:b/>
                <w:sz w:val="22"/>
              </w:rPr>
            </w:pPr>
            <w:r>
              <w:rPr>
                <w:b/>
                <w:sz w:val="22"/>
              </w:rPr>
              <w:t>Carbon Monoxide</w:t>
            </w:r>
          </w:p>
        </w:tc>
      </w:tr>
      <w:tr w:rsidR="00000000">
        <w:tblPrEx>
          <w:tblCellMar>
            <w:top w:w="0" w:type="dxa"/>
            <w:bottom w:w="0" w:type="dxa"/>
          </w:tblCellMar>
        </w:tblPrEx>
        <w:trPr>
          <w:jc w:val="center"/>
        </w:trPr>
        <w:tc>
          <w:tcPr>
            <w:tcW w:w="1800" w:type="dxa"/>
            <w:tcBorders>
              <w:top w:val="double" w:sz="4" w:space="0" w:color="auto"/>
              <w:left w:val="double" w:sz="4" w:space="0" w:color="auto"/>
              <w:bottom w:val="single" w:sz="18" w:space="0" w:color="000000"/>
            </w:tcBorders>
          </w:tcPr>
          <w:p w:rsidR="00000000" w:rsidRDefault="00C40079">
            <w:pPr>
              <w:tabs>
                <w:tab w:val="left" w:pos="360"/>
                <w:tab w:val="left" w:pos="720"/>
                <w:tab w:val="left" w:pos="1080"/>
                <w:tab w:val="left" w:pos="1440"/>
                <w:tab w:val="left" w:pos="1800"/>
                <w:tab w:val="left" w:pos="2160"/>
              </w:tabs>
              <w:jc w:val="center"/>
              <w:rPr>
                <w:b/>
                <w:sz w:val="22"/>
              </w:rPr>
            </w:pPr>
          </w:p>
          <w:p w:rsidR="00000000" w:rsidRDefault="00C40079">
            <w:pPr>
              <w:tabs>
                <w:tab w:val="left" w:pos="360"/>
                <w:tab w:val="left" w:pos="720"/>
                <w:tab w:val="left" w:pos="1080"/>
                <w:tab w:val="left" w:pos="1440"/>
                <w:tab w:val="left" w:pos="1800"/>
                <w:tab w:val="left" w:pos="2160"/>
              </w:tabs>
              <w:jc w:val="center"/>
              <w:rPr>
                <w:b/>
                <w:sz w:val="22"/>
              </w:rPr>
            </w:pPr>
            <w:r>
              <w:rPr>
                <w:b/>
                <w:sz w:val="22"/>
              </w:rPr>
              <w:t>County</w:t>
            </w:r>
          </w:p>
        </w:tc>
        <w:tc>
          <w:tcPr>
            <w:tcW w:w="1620" w:type="dxa"/>
            <w:tcBorders>
              <w:top w:val="double" w:sz="4" w:space="0" w:color="auto"/>
              <w:bottom w:val="single" w:sz="18"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Tons per Summer Day</w:t>
            </w:r>
          </w:p>
        </w:tc>
        <w:tc>
          <w:tcPr>
            <w:tcW w:w="1260" w:type="dxa"/>
            <w:tcBorders>
              <w:top w:val="double" w:sz="4" w:space="0" w:color="auto"/>
              <w:bottom w:val="single" w:sz="18"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Tons per Year</w:t>
            </w:r>
          </w:p>
        </w:tc>
        <w:tc>
          <w:tcPr>
            <w:tcW w:w="1620" w:type="dxa"/>
            <w:tcBorders>
              <w:top w:val="double" w:sz="4" w:space="0" w:color="auto"/>
              <w:bottom w:val="single" w:sz="18"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Tons per Summe</w:t>
            </w:r>
            <w:r>
              <w:rPr>
                <w:b/>
                <w:sz w:val="22"/>
              </w:rPr>
              <w:t>r Day</w:t>
            </w:r>
          </w:p>
        </w:tc>
        <w:tc>
          <w:tcPr>
            <w:tcW w:w="1260" w:type="dxa"/>
            <w:tcBorders>
              <w:top w:val="double" w:sz="4" w:space="0" w:color="auto"/>
              <w:bottom w:val="single" w:sz="18"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Tons per Year</w:t>
            </w:r>
          </w:p>
        </w:tc>
        <w:tc>
          <w:tcPr>
            <w:tcW w:w="1620" w:type="dxa"/>
            <w:tcBorders>
              <w:top w:val="double" w:sz="4" w:space="0" w:color="auto"/>
              <w:bottom w:val="single" w:sz="18"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Tons per Summer Day</w:t>
            </w:r>
          </w:p>
        </w:tc>
        <w:tc>
          <w:tcPr>
            <w:tcW w:w="1260" w:type="dxa"/>
            <w:tcBorders>
              <w:top w:val="double" w:sz="4" w:space="0" w:color="auto"/>
              <w:bottom w:val="single" w:sz="18" w:space="0" w:color="000000"/>
              <w:right w:val="double" w:sz="4" w:space="0" w:color="auto"/>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Tons per Year</w:t>
            </w:r>
          </w:p>
        </w:tc>
      </w:tr>
      <w:tr w:rsidR="00000000">
        <w:tblPrEx>
          <w:tblCellMar>
            <w:top w:w="0" w:type="dxa"/>
            <w:bottom w:w="0" w:type="dxa"/>
          </w:tblCellMar>
        </w:tblPrEx>
        <w:trPr>
          <w:jc w:val="center"/>
        </w:trPr>
        <w:tc>
          <w:tcPr>
            <w:tcW w:w="1800" w:type="dxa"/>
            <w:tcBorders>
              <w:top w:val="nil"/>
              <w:left w:val="double" w:sz="4" w:space="0" w:color="auto"/>
            </w:tcBorders>
          </w:tcPr>
          <w:p w:rsidR="00000000" w:rsidRDefault="00C40079">
            <w:pPr>
              <w:pStyle w:val="FootnoteText"/>
              <w:tabs>
                <w:tab w:val="left" w:pos="360"/>
                <w:tab w:val="left" w:pos="720"/>
                <w:tab w:val="left" w:pos="1080"/>
                <w:tab w:val="left" w:pos="1440"/>
                <w:tab w:val="left" w:pos="1800"/>
                <w:tab w:val="left" w:pos="2160"/>
              </w:tabs>
              <w:rPr>
                <w:rFonts w:ascii="Times New Roman" w:hAnsi="Times New Roman"/>
                <w:sz w:val="22"/>
              </w:rPr>
            </w:pPr>
            <w:r>
              <w:rPr>
                <w:rFonts w:ascii="Times New Roman" w:hAnsi="Times New Roman"/>
                <w:sz w:val="22"/>
              </w:rPr>
              <w:t xml:space="preserve">Atlantic </w:t>
            </w:r>
          </w:p>
        </w:tc>
        <w:tc>
          <w:tcPr>
            <w:tcW w:w="1620" w:type="dxa"/>
            <w:tcBorders>
              <w:top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74.67</w:t>
            </w:r>
          </w:p>
        </w:tc>
        <w:tc>
          <w:tcPr>
            <w:tcW w:w="1260" w:type="dxa"/>
            <w:tcBorders>
              <w:top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27,426</w:t>
            </w:r>
          </w:p>
        </w:tc>
        <w:tc>
          <w:tcPr>
            <w:tcW w:w="1620" w:type="dxa"/>
            <w:tcBorders>
              <w:top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33.81</w:t>
            </w:r>
          </w:p>
        </w:tc>
        <w:tc>
          <w:tcPr>
            <w:tcW w:w="1260" w:type="dxa"/>
            <w:tcBorders>
              <w:top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9,706</w:t>
            </w:r>
          </w:p>
        </w:tc>
        <w:tc>
          <w:tcPr>
            <w:tcW w:w="1620" w:type="dxa"/>
            <w:tcBorders>
              <w:top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231.77</w:t>
            </w:r>
          </w:p>
        </w:tc>
        <w:tc>
          <w:tcPr>
            <w:tcW w:w="1260" w:type="dxa"/>
            <w:tcBorders>
              <w:top w:val="nil"/>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85,555</w:t>
            </w:r>
          </w:p>
        </w:tc>
      </w:tr>
      <w:tr w:rsidR="00000000">
        <w:tblPrEx>
          <w:tblCellMar>
            <w:top w:w="0" w:type="dxa"/>
            <w:bottom w:w="0" w:type="dxa"/>
          </w:tblCellMar>
        </w:tblPrEx>
        <w:trPr>
          <w:jc w:val="center"/>
        </w:trPr>
        <w:tc>
          <w:tcPr>
            <w:tcW w:w="1800"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 xml:space="preserve">Bergen </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105.32</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34,106</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94.16</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34,452</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687.72</w:t>
            </w:r>
          </w:p>
        </w:tc>
        <w:tc>
          <w:tcPr>
            <w:tcW w:w="126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261,862</w:t>
            </w:r>
          </w:p>
        </w:tc>
      </w:tr>
      <w:tr w:rsidR="00000000">
        <w:tblPrEx>
          <w:tblCellMar>
            <w:top w:w="0" w:type="dxa"/>
            <w:bottom w:w="0" w:type="dxa"/>
          </w:tblCellMar>
        </w:tblPrEx>
        <w:trPr>
          <w:jc w:val="center"/>
        </w:trPr>
        <w:tc>
          <w:tcPr>
            <w:tcW w:w="1800"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 xml:space="preserve">Burlington </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87.21</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31,814</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58.36</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18,214</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297.03</w:t>
            </w:r>
          </w:p>
        </w:tc>
        <w:tc>
          <w:tcPr>
            <w:tcW w:w="126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126,456</w:t>
            </w:r>
          </w:p>
        </w:tc>
      </w:tr>
      <w:tr w:rsidR="00000000">
        <w:tblPrEx>
          <w:tblCellMar>
            <w:top w:w="0" w:type="dxa"/>
            <w:bottom w:w="0" w:type="dxa"/>
          </w:tblCellMar>
        </w:tblPrEx>
        <w:trPr>
          <w:jc w:val="center"/>
        </w:trPr>
        <w:tc>
          <w:tcPr>
            <w:tcW w:w="1800"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Camden</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65</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22,629</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41.44</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15,119</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270.08</w:t>
            </w:r>
          </w:p>
        </w:tc>
        <w:tc>
          <w:tcPr>
            <w:tcW w:w="126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107,408</w:t>
            </w:r>
          </w:p>
        </w:tc>
      </w:tr>
      <w:tr w:rsidR="00000000">
        <w:tblPrEx>
          <w:tblCellMar>
            <w:top w:w="0" w:type="dxa"/>
            <w:bottom w:w="0" w:type="dxa"/>
          </w:tblCellMar>
        </w:tblPrEx>
        <w:trPr>
          <w:jc w:val="center"/>
        </w:trPr>
        <w:tc>
          <w:tcPr>
            <w:tcW w:w="1800"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Cape May</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52.34</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19,481</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34.5</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8,636</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138.02</w:t>
            </w:r>
          </w:p>
        </w:tc>
        <w:tc>
          <w:tcPr>
            <w:tcW w:w="126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50,041</w:t>
            </w:r>
          </w:p>
        </w:tc>
      </w:tr>
      <w:tr w:rsidR="00000000">
        <w:tblPrEx>
          <w:tblCellMar>
            <w:top w:w="0" w:type="dxa"/>
            <w:bottom w:w="0" w:type="dxa"/>
          </w:tblCellMar>
        </w:tblPrEx>
        <w:trPr>
          <w:jc w:val="center"/>
        </w:trPr>
        <w:tc>
          <w:tcPr>
            <w:tcW w:w="1800"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Cumberland</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54.2</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19,375</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30.04</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7,829</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112.23</w:t>
            </w:r>
          </w:p>
        </w:tc>
        <w:tc>
          <w:tcPr>
            <w:tcW w:w="126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40,088</w:t>
            </w:r>
          </w:p>
        </w:tc>
      </w:tr>
      <w:tr w:rsidR="00000000">
        <w:tblPrEx>
          <w:tblCellMar>
            <w:top w:w="0" w:type="dxa"/>
            <w:bottom w:w="0" w:type="dxa"/>
          </w:tblCellMar>
        </w:tblPrEx>
        <w:trPr>
          <w:jc w:val="center"/>
        </w:trPr>
        <w:tc>
          <w:tcPr>
            <w:tcW w:w="1800"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Essex</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68.06</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22,580</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89.32</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29,578</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377.37</w:t>
            </w:r>
          </w:p>
        </w:tc>
        <w:tc>
          <w:tcPr>
            <w:tcW w:w="126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152,468</w:t>
            </w:r>
          </w:p>
        </w:tc>
      </w:tr>
      <w:tr w:rsidR="00000000">
        <w:tblPrEx>
          <w:tblCellMar>
            <w:top w:w="0" w:type="dxa"/>
            <w:bottom w:w="0" w:type="dxa"/>
          </w:tblCellMar>
        </w:tblPrEx>
        <w:trPr>
          <w:jc w:val="center"/>
        </w:trPr>
        <w:tc>
          <w:tcPr>
            <w:tcW w:w="1800"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Gloucester</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84.24</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30,076</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42.19</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14,615</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183.71</w:t>
            </w:r>
          </w:p>
        </w:tc>
        <w:tc>
          <w:tcPr>
            <w:tcW w:w="126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74,719</w:t>
            </w:r>
          </w:p>
        </w:tc>
      </w:tr>
      <w:tr w:rsidR="00000000">
        <w:tblPrEx>
          <w:tblCellMar>
            <w:top w:w="0" w:type="dxa"/>
            <w:bottom w:w="0" w:type="dxa"/>
          </w:tblCellMar>
        </w:tblPrEx>
        <w:trPr>
          <w:jc w:val="center"/>
        </w:trPr>
        <w:tc>
          <w:tcPr>
            <w:tcW w:w="1800"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Hudson</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46.01</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15,111</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95.68</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25,367</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167.29</w:t>
            </w:r>
          </w:p>
        </w:tc>
        <w:tc>
          <w:tcPr>
            <w:tcW w:w="126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67,897</w:t>
            </w:r>
          </w:p>
        </w:tc>
      </w:tr>
      <w:tr w:rsidR="00000000">
        <w:tblPrEx>
          <w:tblCellMar>
            <w:top w:w="0" w:type="dxa"/>
            <w:bottom w:w="0" w:type="dxa"/>
          </w:tblCellMar>
        </w:tblPrEx>
        <w:trPr>
          <w:jc w:val="center"/>
        </w:trPr>
        <w:tc>
          <w:tcPr>
            <w:tcW w:w="1800"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Hunterdon</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28.22</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10,636</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32.07</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8,651</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122.31</w:t>
            </w:r>
          </w:p>
        </w:tc>
        <w:tc>
          <w:tcPr>
            <w:tcW w:w="126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50,996</w:t>
            </w:r>
          </w:p>
        </w:tc>
      </w:tr>
      <w:tr w:rsidR="00000000">
        <w:tblPrEx>
          <w:tblCellMar>
            <w:top w:w="0" w:type="dxa"/>
            <w:bottom w:w="0" w:type="dxa"/>
          </w:tblCellMar>
        </w:tblPrEx>
        <w:trPr>
          <w:jc w:val="center"/>
        </w:trPr>
        <w:tc>
          <w:tcPr>
            <w:tcW w:w="1800"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Mercer</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46.45</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16,068</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81.81</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25,295</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231.18</w:t>
            </w:r>
          </w:p>
        </w:tc>
        <w:tc>
          <w:tcPr>
            <w:tcW w:w="126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90,194</w:t>
            </w:r>
          </w:p>
        </w:tc>
      </w:tr>
      <w:tr w:rsidR="00000000">
        <w:tblPrEx>
          <w:tblCellMar>
            <w:top w:w="0" w:type="dxa"/>
            <w:bottom w:w="0" w:type="dxa"/>
          </w:tblCellMar>
        </w:tblPrEx>
        <w:trPr>
          <w:jc w:val="center"/>
        </w:trPr>
        <w:tc>
          <w:tcPr>
            <w:tcW w:w="1800"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Middlesex</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104.31</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34,222</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123.5</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33,048</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554.28</w:t>
            </w:r>
          </w:p>
        </w:tc>
        <w:tc>
          <w:tcPr>
            <w:tcW w:w="126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212,020</w:t>
            </w:r>
          </w:p>
        </w:tc>
      </w:tr>
      <w:tr w:rsidR="00000000">
        <w:tblPrEx>
          <w:tblCellMar>
            <w:top w:w="0" w:type="dxa"/>
            <w:bottom w:w="0" w:type="dxa"/>
          </w:tblCellMar>
        </w:tblPrEx>
        <w:trPr>
          <w:jc w:val="center"/>
        </w:trPr>
        <w:tc>
          <w:tcPr>
            <w:tcW w:w="1800"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Monmouth</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91.54</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32,769</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57.2</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21,301</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444.87</w:t>
            </w:r>
          </w:p>
        </w:tc>
        <w:tc>
          <w:tcPr>
            <w:tcW w:w="126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180,921</w:t>
            </w:r>
          </w:p>
        </w:tc>
      </w:tr>
      <w:tr w:rsidR="00000000">
        <w:tblPrEx>
          <w:tblCellMar>
            <w:top w:w="0" w:type="dxa"/>
            <w:bottom w:w="0" w:type="dxa"/>
          </w:tblCellMar>
        </w:tblPrEx>
        <w:trPr>
          <w:jc w:val="center"/>
        </w:trPr>
        <w:tc>
          <w:tcPr>
            <w:tcW w:w="1800"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Morris</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69.79</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25,153</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50.34</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18,978</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443.06</w:t>
            </w:r>
          </w:p>
        </w:tc>
        <w:tc>
          <w:tcPr>
            <w:tcW w:w="126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174,989</w:t>
            </w:r>
          </w:p>
        </w:tc>
      </w:tr>
      <w:tr w:rsidR="00000000">
        <w:tblPrEx>
          <w:tblCellMar>
            <w:top w:w="0" w:type="dxa"/>
            <w:bottom w:w="0" w:type="dxa"/>
          </w:tblCellMar>
        </w:tblPrEx>
        <w:trPr>
          <w:jc w:val="center"/>
        </w:trPr>
        <w:tc>
          <w:tcPr>
            <w:tcW w:w="1800"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Ocean</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103.91</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37,</w:t>
            </w:r>
            <w:r>
              <w:rPr>
                <w:snapToGrid w:val="0"/>
                <w:color w:val="000000"/>
                <w:sz w:val="22"/>
              </w:rPr>
              <w:t>326</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38.56</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13,676</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314.69</w:t>
            </w:r>
          </w:p>
        </w:tc>
        <w:tc>
          <w:tcPr>
            <w:tcW w:w="126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125,240</w:t>
            </w:r>
          </w:p>
        </w:tc>
      </w:tr>
      <w:tr w:rsidR="00000000">
        <w:tblPrEx>
          <w:tblCellMar>
            <w:top w:w="0" w:type="dxa"/>
            <w:bottom w:w="0" w:type="dxa"/>
          </w:tblCellMar>
        </w:tblPrEx>
        <w:trPr>
          <w:jc w:val="center"/>
        </w:trPr>
        <w:tc>
          <w:tcPr>
            <w:tcW w:w="1800"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Passaic</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49.71</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17,014</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34.46</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12,682</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206.71</w:t>
            </w:r>
          </w:p>
        </w:tc>
        <w:tc>
          <w:tcPr>
            <w:tcW w:w="126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85,648</w:t>
            </w:r>
          </w:p>
        </w:tc>
      </w:tr>
      <w:tr w:rsidR="00000000">
        <w:tblPrEx>
          <w:tblCellMar>
            <w:top w:w="0" w:type="dxa"/>
            <w:bottom w:w="0" w:type="dxa"/>
          </w:tblCellMar>
        </w:tblPrEx>
        <w:trPr>
          <w:jc w:val="center"/>
        </w:trPr>
        <w:tc>
          <w:tcPr>
            <w:tcW w:w="1800"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Salem</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34.63</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11,726</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31.01</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7,727</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74.94</w:t>
            </w:r>
          </w:p>
        </w:tc>
        <w:tc>
          <w:tcPr>
            <w:tcW w:w="126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26,533</w:t>
            </w:r>
          </w:p>
        </w:tc>
      </w:tr>
      <w:tr w:rsidR="00000000">
        <w:tblPrEx>
          <w:tblCellMar>
            <w:top w:w="0" w:type="dxa"/>
            <w:bottom w:w="0" w:type="dxa"/>
          </w:tblCellMar>
        </w:tblPrEx>
        <w:trPr>
          <w:jc w:val="center"/>
        </w:trPr>
        <w:tc>
          <w:tcPr>
            <w:tcW w:w="1800"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Somerset</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42.74</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14,963</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36.61</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12,602</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228.79</w:t>
            </w:r>
          </w:p>
        </w:tc>
        <w:tc>
          <w:tcPr>
            <w:tcW w:w="126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88,817</w:t>
            </w:r>
          </w:p>
        </w:tc>
      </w:tr>
      <w:tr w:rsidR="00000000">
        <w:tblPrEx>
          <w:tblCellMar>
            <w:top w:w="0" w:type="dxa"/>
            <w:bottom w:w="0" w:type="dxa"/>
          </w:tblCellMar>
        </w:tblPrEx>
        <w:trPr>
          <w:jc w:val="center"/>
        </w:trPr>
        <w:tc>
          <w:tcPr>
            <w:tcW w:w="1800"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Sussex</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34.9</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14,544</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10.86</w:t>
            </w:r>
          </w:p>
        </w:tc>
        <w:tc>
          <w:tcPr>
            <w:tcW w:w="126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4,140</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84.05</w:t>
            </w:r>
          </w:p>
        </w:tc>
        <w:tc>
          <w:tcPr>
            <w:tcW w:w="126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43,747</w:t>
            </w:r>
          </w:p>
        </w:tc>
      </w:tr>
      <w:tr w:rsidR="00000000">
        <w:tblPrEx>
          <w:tblCellMar>
            <w:top w:w="0" w:type="dxa"/>
            <w:bottom w:w="0" w:type="dxa"/>
          </w:tblCellMar>
        </w:tblPrEx>
        <w:trPr>
          <w:jc w:val="center"/>
        </w:trPr>
        <w:tc>
          <w:tcPr>
            <w:tcW w:w="1800" w:type="dxa"/>
            <w:tcBorders>
              <w:left w:val="double" w:sz="4" w:space="0" w:color="auto"/>
              <w:bottom w:val="nil"/>
            </w:tcBorders>
          </w:tcPr>
          <w:p w:rsidR="00000000" w:rsidRDefault="00C40079">
            <w:pPr>
              <w:tabs>
                <w:tab w:val="left" w:pos="360"/>
                <w:tab w:val="left" w:pos="720"/>
                <w:tab w:val="left" w:pos="1080"/>
                <w:tab w:val="left" w:pos="1440"/>
                <w:tab w:val="left" w:pos="1800"/>
                <w:tab w:val="left" w:pos="2160"/>
              </w:tabs>
              <w:rPr>
                <w:sz w:val="22"/>
              </w:rPr>
            </w:pPr>
            <w:r>
              <w:rPr>
                <w:sz w:val="22"/>
              </w:rPr>
              <w:t>Union</w:t>
            </w:r>
          </w:p>
        </w:tc>
        <w:tc>
          <w:tcPr>
            <w:tcW w:w="1620"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77.8</w:t>
            </w:r>
          </w:p>
        </w:tc>
        <w:tc>
          <w:tcPr>
            <w:tcW w:w="1260"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22,468</w:t>
            </w:r>
          </w:p>
        </w:tc>
        <w:tc>
          <w:tcPr>
            <w:tcW w:w="1620"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73.69</w:t>
            </w:r>
          </w:p>
        </w:tc>
        <w:tc>
          <w:tcPr>
            <w:tcW w:w="1260"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23,906</w:t>
            </w:r>
          </w:p>
        </w:tc>
        <w:tc>
          <w:tcPr>
            <w:tcW w:w="1620"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286</w:t>
            </w:r>
            <w:r>
              <w:rPr>
                <w:snapToGrid w:val="0"/>
                <w:color w:val="000000"/>
                <w:sz w:val="22"/>
              </w:rPr>
              <w:t>.09</w:t>
            </w:r>
          </w:p>
        </w:tc>
        <w:tc>
          <w:tcPr>
            <w:tcW w:w="1260" w:type="dxa"/>
            <w:tcBorders>
              <w:bottom w:val="nil"/>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117,897</w:t>
            </w:r>
          </w:p>
        </w:tc>
      </w:tr>
      <w:tr w:rsidR="00000000">
        <w:tblPrEx>
          <w:tblCellMar>
            <w:top w:w="0" w:type="dxa"/>
            <w:bottom w:w="0" w:type="dxa"/>
          </w:tblCellMar>
        </w:tblPrEx>
        <w:trPr>
          <w:trHeight w:val="104"/>
          <w:jc w:val="center"/>
        </w:trPr>
        <w:tc>
          <w:tcPr>
            <w:tcW w:w="1800" w:type="dxa"/>
            <w:tcBorders>
              <w:left w:val="double" w:sz="4" w:space="0" w:color="auto"/>
              <w:bottom w:val="nil"/>
            </w:tcBorders>
          </w:tcPr>
          <w:p w:rsidR="00000000" w:rsidRDefault="00C40079">
            <w:pPr>
              <w:tabs>
                <w:tab w:val="left" w:pos="360"/>
                <w:tab w:val="left" w:pos="720"/>
                <w:tab w:val="left" w:pos="1080"/>
                <w:tab w:val="left" w:pos="1440"/>
                <w:tab w:val="left" w:pos="1800"/>
                <w:tab w:val="left" w:pos="2160"/>
              </w:tabs>
              <w:rPr>
                <w:sz w:val="22"/>
              </w:rPr>
            </w:pPr>
            <w:r>
              <w:rPr>
                <w:sz w:val="22"/>
              </w:rPr>
              <w:t>Warren</w:t>
            </w:r>
          </w:p>
        </w:tc>
        <w:tc>
          <w:tcPr>
            <w:tcW w:w="1620"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29.22</w:t>
            </w:r>
          </w:p>
        </w:tc>
        <w:tc>
          <w:tcPr>
            <w:tcW w:w="1260"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11,204</w:t>
            </w:r>
          </w:p>
        </w:tc>
        <w:tc>
          <w:tcPr>
            <w:tcW w:w="1620"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20.7</w:t>
            </w:r>
          </w:p>
        </w:tc>
        <w:tc>
          <w:tcPr>
            <w:tcW w:w="1260"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7,451</w:t>
            </w:r>
          </w:p>
        </w:tc>
        <w:tc>
          <w:tcPr>
            <w:tcW w:w="1620"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87.9</w:t>
            </w:r>
          </w:p>
        </w:tc>
        <w:tc>
          <w:tcPr>
            <w:tcW w:w="1260" w:type="dxa"/>
            <w:tcBorders>
              <w:bottom w:val="nil"/>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43,226</w:t>
            </w:r>
          </w:p>
        </w:tc>
      </w:tr>
      <w:tr w:rsidR="00000000">
        <w:tblPrEx>
          <w:tblCellMar>
            <w:top w:w="0" w:type="dxa"/>
            <w:bottom w:w="0" w:type="dxa"/>
          </w:tblCellMar>
        </w:tblPrEx>
        <w:trPr>
          <w:jc w:val="center"/>
        </w:trPr>
        <w:tc>
          <w:tcPr>
            <w:tcW w:w="1800" w:type="dxa"/>
            <w:tcBorders>
              <w:top w:val="single" w:sz="18" w:space="0" w:color="000000"/>
              <w:left w:val="double" w:sz="4" w:space="0" w:color="auto"/>
              <w:bottom w:val="double" w:sz="4" w:space="0" w:color="auto"/>
            </w:tcBorders>
          </w:tcPr>
          <w:p w:rsidR="00000000" w:rsidRDefault="00C40079">
            <w:pPr>
              <w:tabs>
                <w:tab w:val="left" w:pos="360"/>
                <w:tab w:val="left" w:pos="720"/>
                <w:tab w:val="left" w:pos="1080"/>
                <w:tab w:val="left" w:pos="1440"/>
                <w:tab w:val="left" w:pos="1800"/>
                <w:tab w:val="left" w:pos="2160"/>
              </w:tabs>
              <w:rPr>
                <w:b/>
                <w:sz w:val="22"/>
              </w:rPr>
            </w:pPr>
            <w:r>
              <w:rPr>
                <w:b/>
                <w:sz w:val="22"/>
              </w:rPr>
              <w:t>Total in State</w:t>
            </w:r>
          </w:p>
        </w:tc>
        <w:tc>
          <w:tcPr>
            <w:tcW w:w="1620" w:type="dxa"/>
            <w:tcBorders>
              <w:top w:val="single" w:sz="18" w:space="0" w:color="000000"/>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1350.27</w:t>
            </w:r>
          </w:p>
        </w:tc>
        <w:tc>
          <w:tcPr>
            <w:tcW w:w="1260" w:type="dxa"/>
            <w:tcBorders>
              <w:top w:val="single" w:sz="18" w:space="0" w:color="000000"/>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470,689</w:t>
            </w:r>
          </w:p>
        </w:tc>
        <w:tc>
          <w:tcPr>
            <w:tcW w:w="1620" w:type="dxa"/>
            <w:tcBorders>
              <w:top w:val="single" w:sz="18" w:space="0" w:color="000000"/>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1110.28</w:t>
            </w:r>
          </w:p>
        </w:tc>
        <w:tc>
          <w:tcPr>
            <w:tcW w:w="1260" w:type="dxa"/>
            <w:tcBorders>
              <w:top w:val="single" w:sz="18" w:space="0" w:color="000000"/>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352,968</w:t>
            </w:r>
          </w:p>
        </w:tc>
        <w:tc>
          <w:tcPr>
            <w:tcW w:w="1620" w:type="dxa"/>
            <w:tcBorders>
              <w:top w:val="single" w:sz="18" w:space="0" w:color="000000"/>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5544.06</w:t>
            </w:r>
          </w:p>
        </w:tc>
        <w:tc>
          <w:tcPr>
            <w:tcW w:w="1260" w:type="dxa"/>
            <w:tcBorders>
              <w:top w:val="single" w:sz="18" w:space="0" w:color="000000"/>
              <w:bottom w:val="double" w:sz="4" w:space="0" w:color="auto"/>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2,206,719</w:t>
            </w:r>
          </w:p>
        </w:tc>
      </w:tr>
    </w:tbl>
    <w:p w:rsidR="00000000" w:rsidRDefault="00C40079">
      <w:pPr>
        <w:tabs>
          <w:tab w:val="left" w:pos="720"/>
          <w:tab w:val="left" w:pos="1080"/>
          <w:tab w:val="left" w:pos="1440"/>
          <w:tab w:val="left" w:pos="1800"/>
          <w:tab w:val="left" w:pos="2160"/>
        </w:tabs>
        <w:rPr>
          <w:sz w:val="24"/>
        </w:rPr>
      </w:pPr>
    </w:p>
    <w:p w:rsidR="00000000" w:rsidRDefault="00C40079">
      <w:pPr>
        <w:tabs>
          <w:tab w:val="left" w:pos="720"/>
          <w:tab w:val="left" w:pos="1080"/>
          <w:tab w:val="left" w:pos="1440"/>
          <w:tab w:val="left" w:pos="1800"/>
          <w:tab w:val="left" w:pos="2160"/>
        </w:tabs>
        <w:jc w:val="center"/>
        <w:rPr>
          <w:b/>
          <w:sz w:val="24"/>
        </w:rPr>
      </w:pPr>
      <w:r>
        <w:rPr>
          <w:sz w:val="24"/>
        </w:rPr>
        <w:br w:type="page"/>
      </w:r>
      <w:r>
        <w:rPr>
          <w:b/>
          <w:sz w:val="24"/>
        </w:rPr>
        <w:lastRenderedPageBreak/>
        <w:t>Table XVIII (cont.)</w:t>
      </w:r>
    </w:p>
    <w:p w:rsidR="00000000" w:rsidRDefault="00C40079">
      <w:pPr>
        <w:tabs>
          <w:tab w:val="left" w:pos="720"/>
          <w:tab w:val="left" w:pos="1080"/>
          <w:tab w:val="left" w:pos="1440"/>
          <w:tab w:val="left" w:pos="1800"/>
          <w:tab w:val="left" w:pos="2160"/>
        </w:tabs>
        <w:jc w:val="center"/>
        <w:rPr>
          <w:b/>
          <w:sz w:val="24"/>
        </w:rPr>
      </w:pPr>
      <w:r>
        <w:rPr>
          <w:b/>
          <w:sz w:val="24"/>
        </w:rPr>
        <w:t>2002 Statewide Emission Inventory by County and Pollutant</w:t>
      </w:r>
    </w:p>
    <w:p w:rsidR="00000000" w:rsidRDefault="00C40079">
      <w:pPr>
        <w:tabs>
          <w:tab w:val="left" w:pos="720"/>
          <w:tab w:val="left" w:pos="1080"/>
          <w:tab w:val="left" w:pos="1440"/>
          <w:tab w:val="left" w:pos="1800"/>
          <w:tab w:val="left" w:pos="2160"/>
        </w:tabs>
        <w:jc w:val="center"/>
        <w:rPr>
          <w:sz w:val="24"/>
        </w:rPr>
      </w:pPr>
    </w:p>
    <w:tbl>
      <w:tblPr>
        <w:tblW w:w="0" w:type="auto"/>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AF" w:firstRow="1" w:lastRow="0" w:firstColumn="1" w:lastColumn="0" w:noHBand="0" w:noVBand="0"/>
      </w:tblPr>
      <w:tblGrid>
        <w:gridCol w:w="2166"/>
        <w:gridCol w:w="1620"/>
        <w:gridCol w:w="1620"/>
        <w:gridCol w:w="1620"/>
        <w:gridCol w:w="1625"/>
      </w:tblGrid>
      <w:tr w:rsidR="00000000">
        <w:tblPrEx>
          <w:tblCellMar>
            <w:top w:w="0" w:type="dxa"/>
            <w:bottom w:w="0" w:type="dxa"/>
          </w:tblCellMar>
        </w:tblPrEx>
        <w:trPr>
          <w:jc w:val="center"/>
        </w:trPr>
        <w:tc>
          <w:tcPr>
            <w:tcW w:w="2166" w:type="dxa"/>
            <w:tcBorders>
              <w:top w:val="double" w:sz="4" w:space="0" w:color="auto"/>
              <w:left w:val="double" w:sz="4" w:space="0" w:color="auto"/>
              <w:bottom w:val="single" w:sz="18" w:space="0" w:color="000000"/>
            </w:tcBorders>
          </w:tcPr>
          <w:p w:rsidR="00000000" w:rsidRDefault="00C40079">
            <w:pPr>
              <w:tabs>
                <w:tab w:val="left" w:pos="360"/>
                <w:tab w:val="left" w:pos="720"/>
                <w:tab w:val="left" w:pos="1080"/>
                <w:tab w:val="left" w:pos="1440"/>
                <w:tab w:val="left" w:pos="1800"/>
                <w:tab w:val="left" w:pos="2160"/>
              </w:tabs>
              <w:jc w:val="center"/>
              <w:rPr>
                <w:b/>
                <w:sz w:val="22"/>
              </w:rPr>
            </w:pPr>
          </w:p>
          <w:p w:rsidR="00000000" w:rsidRDefault="00C40079">
            <w:pPr>
              <w:tabs>
                <w:tab w:val="left" w:pos="360"/>
                <w:tab w:val="left" w:pos="720"/>
                <w:tab w:val="left" w:pos="1080"/>
                <w:tab w:val="left" w:pos="1440"/>
                <w:tab w:val="left" w:pos="1800"/>
                <w:tab w:val="left" w:pos="2160"/>
              </w:tabs>
              <w:jc w:val="center"/>
              <w:rPr>
                <w:b/>
                <w:sz w:val="22"/>
              </w:rPr>
            </w:pPr>
            <w:r>
              <w:rPr>
                <w:b/>
                <w:sz w:val="22"/>
              </w:rPr>
              <w:t>County</w:t>
            </w:r>
          </w:p>
        </w:tc>
        <w:tc>
          <w:tcPr>
            <w:tcW w:w="1620" w:type="dxa"/>
            <w:tcBorders>
              <w:top w:val="double" w:sz="4" w:space="0" w:color="auto"/>
              <w:bottom w:val="single" w:sz="18"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PM</w:t>
            </w:r>
            <w:r>
              <w:rPr>
                <w:b/>
                <w:sz w:val="22"/>
                <w:vertAlign w:val="subscript"/>
              </w:rPr>
              <w:t>10</w:t>
            </w:r>
            <w:r>
              <w:rPr>
                <w:b/>
                <w:sz w:val="22"/>
                <w:vertAlign w:val="superscript"/>
              </w:rPr>
              <w:t>(1)</w:t>
            </w:r>
          </w:p>
          <w:p w:rsidR="00000000" w:rsidRDefault="00C40079">
            <w:pPr>
              <w:tabs>
                <w:tab w:val="left" w:pos="360"/>
                <w:tab w:val="left" w:pos="720"/>
                <w:tab w:val="left" w:pos="1080"/>
                <w:tab w:val="left" w:pos="1440"/>
                <w:tab w:val="left" w:pos="1800"/>
                <w:tab w:val="left" w:pos="2160"/>
              </w:tabs>
              <w:jc w:val="center"/>
              <w:rPr>
                <w:b/>
                <w:sz w:val="22"/>
              </w:rPr>
            </w:pPr>
            <w:r>
              <w:rPr>
                <w:b/>
                <w:sz w:val="22"/>
              </w:rPr>
              <w:t>Tons per Year</w:t>
            </w:r>
          </w:p>
        </w:tc>
        <w:tc>
          <w:tcPr>
            <w:tcW w:w="1620" w:type="dxa"/>
            <w:tcBorders>
              <w:top w:val="double" w:sz="4" w:space="0" w:color="auto"/>
              <w:bottom w:val="single" w:sz="18"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PM</w:t>
            </w:r>
            <w:r>
              <w:rPr>
                <w:b/>
                <w:sz w:val="22"/>
                <w:vertAlign w:val="subscript"/>
              </w:rPr>
              <w:t>2.5</w:t>
            </w:r>
            <w:r>
              <w:rPr>
                <w:b/>
                <w:sz w:val="22"/>
                <w:vertAlign w:val="superscript"/>
              </w:rPr>
              <w:t>(1)</w:t>
            </w:r>
          </w:p>
          <w:p w:rsidR="00000000" w:rsidRDefault="00C40079">
            <w:pPr>
              <w:tabs>
                <w:tab w:val="left" w:pos="360"/>
                <w:tab w:val="left" w:pos="720"/>
                <w:tab w:val="left" w:pos="1080"/>
                <w:tab w:val="left" w:pos="1440"/>
                <w:tab w:val="left" w:pos="1800"/>
                <w:tab w:val="left" w:pos="2160"/>
              </w:tabs>
              <w:jc w:val="center"/>
              <w:rPr>
                <w:b/>
                <w:sz w:val="22"/>
              </w:rPr>
            </w:pPr>
            <w:r>
              <w:rPr>
                <w:b/>
                <w:sz w:val="22"/>
              </w:rPr>
              <w:t>Tons per Year</w:t>
            </w:r>
          </w:p>
        </w:tc>
        <w:tc>
          <w:tcPr>
            <w:tcW w:w="1620" w:type="dxa"/>
            <w:tcBorders>
              <w:top w:val="double" w:sz="4" w:space="0" w:color="auto"/>
              <w:bottom w:val="single" w:sz="18"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SO</w:t>
            </w:r>
            <w:r>
              <w:rPr>
                <w:b/>
                <w:sz w:val="22"/>
                <w:vertAlign w:val="subscript"/>
              </w:rPr>
              <w:t>2</w:t>
            </w:r>
          </w:p>
          <w:p w:rsidR="00000000" w:rsidRDefault="00C40079">
            <w:pPr>
              <w:tabs>
                <w:tab w:val="left" w:pos="360"/>
                <w:tab w:val="left" w:pos="720"/>
                <w:tab w:val="left" w:pos="1080"/>
                <w:tab w:val="left" w:pos="1440"/>
                <w:tab w:val="left" w:pos="1800"/>
                <w:tab w:val="left" w:pos="2160"/>
              </w:tabs>
              <w:jc w:val="center"/>
              <w:rPr>
                <w:b/>
                <w:sz w:val="22"/>
              </w:rPr>
            </w:pPr>
            <w:r>
              <w:rPr>
                <w:b/>
                <w:sz w:val="22"/>
              </w:rPr>
              <w:t>Tons per Year</w:t>
            </w:r>
          </w:p>
        </w:tc>
        <w:tc>
          <w:tcPr>
            <w:tcW w:w="1625" w:type="dxa"/>
            <w:tcBorders>
              <w:top w:val="double" w:sz="4" w:space="0" w:color="auto"/>
              <w:bottom w:val="single" w:sz="18" w:space="0" w:color="000000"/>
              <w:right w:val="double" w:sz="4" w:space="0" w:color="auto"/>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NH</w:t>
            </w:r>
            <w:r>
              <w:rPr>
                <w:b/>
                <w:sz w:val="22"/>
                <w:vertAlign w:val="subscript"/>
              </w:rPr>
              <w:t>3</w:t>
            </w:r>
            <w:r>
              <w:rPr>
                <w:b/>
                <w:sz w:val="22"/>
              </w:rPr>
              <w:t xml:space="preserve"> </w:t>
            </w:r>
          </w:p>
          <w:p w:rsidR="00000000" w:rsidRDefault="00C40079">
            <w:pPr>
              <w:tabs>
                <w:tab w:val="left" w:pos="360"/>
                <w:tab w:val="left" w:pos="720"/>
                <w:tab w:val="left" w:pos="1080"/>
                <w:tab w:val="left" w:pos="1440"/>
                <w:tab w:val="left" w:pos="1800"/>
                <w:tab w:val="left" w:pos="2160"/>
              </w:tabs>
              <w:jc w:val="center"/>
              <w:rPr>
                <w:b/>
                <w:sz w:val="22"/>
              </w:rPr>
            </w:pPr>
            <w:r>
              <w:rPr>
                <w:b/>
                <w:sz w:val="22"/>
              </w:rPr>
              <w:t>Tons per Year</w:t>
            </w:r>
          </w:p>
        </w:tc>
      </w:tr>
      <w:tr w:rsidR="00000000">
        <w:tblPrEx>
          <w:tblCellMar>
            <w:top w:w="0" w:type="dxa"/>
            <w:bottom w:w="0" w:type="dxa"/>
          </w:tblCellMar>
        </w:tblPrEx>
        <w:trPr>
          <w:jc w:val="center"/>
        </w:trPr>
        <w:tc>
          <w:tcPr>
            <w:tcW w:w="2166" w:type="dxa"/>
            <w:tcBorders>
              <w:top w:val="nil"/>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 xml:space="preserve">Atlantic </w:t>
            </w:r>
          </w:p>
        </w:tc>
        <w:tc>
          <w:tcPr>
            <w:tcW w:w="1620" w:type="dxa"/>
            <w:tcBorders>
              <w:top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2,282</w:t>
            </w:r>
          </w:p>
        </w:tc>
        <w:tc>
          <w:tcPr>
            <w:tcW w:w="1620" w:type="dxa"/>
            <w:tcBorders>
              <w:top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1,889</w:t>
            </w:r>
          </w:p>
        </w:tc>
        <w:tc>
          <w:tcPr>
            <w:tcW w:w="1620" w:type="dxa"/>
            <w:tcBorders>
              <w:top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886</w:t>
            </w:r>
          </w:p>
        </w:tc>
        <w:tc>
          <w:tcPr>
            <w:tcW w:w="1625" w:type="dxa"/>
            <w:tcBorders>
              <w:top w:val="nil"/>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823</w:t>
            </w:r>
          </w:p>
        </w:tc>
      </w:tr>
      <w:tr w:rsidR="00000000">
        <w:tblPrEx>
          <w:tblCellMar>
            <w:top w:w="0" w:type="dxa"/>
            <w:bottom w:w="0" w:type="dxa"/>
          </w:tblCellMar>
        </w:tblPrEx>
        <w:trPr>
          <w:jc w:val="center"/>
        </w:trPr>
        <w:tc>
          <w:tcPr>
            <w:tcW w:w="2166"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 xml:space="preserve">Bergen </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2,164</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1,540</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2155</w:t>
            </w:r>
          </w:p>
        </w:tc>
        <w:tc>
          <w:tcPr>
            <w:tcW w:w="1625"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2390</w:t>
            </w:r>
          </w:p>
        </w:tc>
      </w:tr>
      <w:tr w:rsidR="00000000">
        <w:tblPrEx>
          <w:tblCellMar>
            <w:top w:w="0" w:type="dxa"/>
            <w:bottom w:w="0" w:type="dxa"/>
          </w:tblCellMar>
        </w:tblPrEx>
        <w:trPr>
          <w:jc w:val="center"/>
        </w:trPr>
        <w:tc>
          <w:tcPr>
            <w:tcW w:w="2166"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 xml:space="preserve">Burlington </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3,209</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2,362</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3568</w:t>
            </w:r>
          </w:p>
        </w:tc>
        <w:tc>
          <w:tcPr>
            <w:tcW w:w="1625"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1535</w:t>
            </w:r>
          </w:p>
        </w:tc>
      </w:tr>
      <w:tr w:rsidR="00000000">
        <w:tblPrEx>
          <w:tblCellMar>
            <w:top w:w="0" w:type="dxa"/>
            <w:bottom w:w="0" w:type="dxa"/>
          </w:tblCellMar>
        </w:tblPrEx>
        <w:trPr>
          <w:jc w:val="center"/>
        </w:trPr>
        <w:tc>
          <w:tcPr>
            <w:tcW w:w="2166"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Camden</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1,823</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1,382</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2038</w:t>
            </w:r>
          </w:p>
        </w:tc>
        <w:tc>
          <w:tcPr>
            <w:tcW w:w="1625"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1238</w:t>
            </w:r>
          </w:p>
        </w:tc>
      </w:tr>
      <w:tr w:rsidR="00000000">
        <w:tblPrEx>
          <w:tblCellMar>
            <w:top w:w="0" w:type="dxa"/>
            <w:bottom w:w="0" w:type="dxa"/>
          </w:tblCellMar>
        </w:tblPrEx>
        <w:trPr>
          <w:jc w:val="center"/>
        </w:trPr>
        <w:tc>
          <w:tcPr>
            <w:tcW w:w="2166"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Cape May</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1,468</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1,254</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13409</w:t>
            </w:r>
          </w:p>
        </w:tc>
        <w:tc>
          <w:tcPr>
            <w:tcW w:w="1625"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334</w:t>
            </w:r>
          </w:p>
        </w:tc>
      </w:tr>
      <w:tr w:rsidR="00000000">
        <w:tblPrEx>
          <w:tblCellMar>
            <w:top w:w="0" w:type="dxa"/>
            <w:bottom w:w="0" w:type="dxa"/>
          </w:tblCellMar>
        </w:tblPrEx>
        <w:trPr>
          <w:jc w:val="center"/>
        </w:trPr>
        <w:tc>
          <w:tcPr>
            <w:tcW w:w="2166"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Cumberland</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1,467</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1,201</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3281</w:t>
            </w:r>
          </w:p>
        </w:tc>
        <w:tc>
          <w:tcPr>
            <w:tcW w:w="1625"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652</w:t>
            </w:r>
          </w:p>
        </w:tc>
      </w:tr>
      <w:tr w:rsidR="00000000">
        <w:tblPrEx>
          <w:tblCellMar>
            <w:top w:w="0" w:type="dxa"/>
            <w:bottom w:w="0" w:type="dxa"/>
          </w:tblCellMar>
        </w:tblPrEx>
        <w:trPr>
          <w:jc w:val="center"/>
        </w:trPr>
        <w:tc>
          <w:tcPr>
            <w:tcW w:w="2166"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Essex</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1,682</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1,280</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4597</w:t>
            </w:r>
          </w:p>
        </w:tc>
        <w:tc>
          <w:tcPr>
            <w:tcW w:w="1625"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19</w:t>
            </w:r>
            <w:r>
              <w:rPr>
                <w:snapToGrid w:val="0"/>
                <w:color w:val="000000"/>
                <w:sz w:val="22"/>
              </w:rPr>
              <w:t>34</w:t>
            </w:r>
          </w:p>
        </w:tc>
      </w:tr>
      <w:tr w:rsidR="00000000">
        <w:tblPrEx>
          <w:tblCellMar>
            <w:top w:w="0" w:type="dxa"/>
            <w:bottom w:w="0" w:type="dxa"/>
          </w:tblCellMar>
        </w:tblPrEx>
        <w:trPr>
          <w:jc w:val="center"/>
        </w:trPr>
        <w:tc>
          <w:tcPr>
            <w:tcW w:w="2166"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Gloucester</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2,103</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1,514</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7275</w:t>
            </w:r>
          </w:p>
        </w:tc>
        <w:tc>
          <w:tcPr>
            <w:tcW w:w="1625"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1006</w:t>
            </w:r>
          </w:p>
        </w:tc>
      </w:tr>
      <w:tr w:rsidR="00000000">
        <w:tblPrEx>
          <w:tblCellMar>
            <w:top w:w="0" w:type="dxa"/>
            <w:bottom w:w="0" w:type="dxa"/>
          </w:tblCellMar>
        </w:tblPrEx>
        <w:trPr>
          <w:jc w:val="center"/>
        </w:trPr>
        <w:tc>
          <w:tcPr>
            <w:tcW w:w="2166"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Hudson</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2,690</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1,825</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21653</w:t>
            </w:r>
          </w:p>
        </w:tc>
        <w:tc>
          <w:tcPr>
            <w:tcW w:w="1625"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1325</w:t>
            </w:r>
          </w:p>
        </w:tc>
      </w:tr>
      <w:tr w:rsidR="00000000">
        <w:tblPrEx>
          <w:tblCellMar>
            <w:top w:w="0" w:type="dxa"/>
            <w:bottom w:w="0" w:type="dxa"/>
          </w:tblCellMar>
        </w:tblPrEx>
        <w:trPr>
          <w:jc w:val="center"/>
        </w:trPr>
        <w:tc>
          <w:tcPr>
            <w:tcW w:w="2166"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Hunterdon</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1,426</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908</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695</w:t>
            </w:r>
          </w:p>
        </w:tc>
        <w:tc>
          <w:tcPr>
            <w:tcW w:w="1625"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934</w:t>
            </w:r>
          </w:p>
        </w:tc>
      </w:tr>
      <w:tr w:rsidR="00000000">
        <w:tblPrEx>
          <w:tblCellMar>
            <w:top w:w="0" w:type="dxa"/>
            <w:bottom w:w="0" w:type="dxa"/>
          </w:tblCellMar>
        </w:tblPrEx>
        <w:trPr>
          <w:jc w:val="center"/>
        </w:trPr>
        <w:tc>
          <w:tcPr>
            <w:tcW w:w="2166"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Mercer</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1,613</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1,062</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15594</w:t>
            </w:r>
          </w:p>
        </w:tc>
        <w:tc>
          <w:tcPr>
            <w:tcW w:w="1625"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1032</w:t>
            </w:r>
          </w:p>
        </w:tc>
      </w:tr>
      <w:tr w:rsidR="00000000">
        <w:tblPrEx>
          <w:tblCellMar>
            <w:top w:w="0" w:type="dxa"/>
            <w:bottom w:w="0" w:type="dxa"/>
          </w:tblCellMar>
        </w:tblPrEx>
        <w:trPr>
          <w:jc w:val="center"/>
        </w:trPr>
        <w:tc>
          <w:tcPr>
            <w:tcW w:w="2166"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Middlesex</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2,561</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1,643</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2395</w:t>
            </w:r>
          </w:p>
        </w:tc>
        <w:tc>
          <w:tcPr>
            <w:tcW w:w="1625"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2122</w:t>
            </w:r>
          </w:p>
        </w:tc>
      </w:tr>
      <w:tr w:rsidR="00000000">
        <w:tblPrEx>
          <w:tblCellMar>
            <w:top w:w="0" w:type="dxa"/>
            <w:bottom w:w="0" w:type="dxa"/>
          </w:tblCellMar>
        </w:tblPrEx>
        <w:trPr>
          <w:jc w:val="center"/>
        </w:trPr>
        <w:tc>
          <w:tcPr>
            <w:tcW w:w="2166"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Monmouth</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2,520</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1,781</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1947</w:t>
            </w:r>
          </w:p>
        </w:tc>
        <w:tc>
          <w:tcPr>
            <w:tcW w:w="1625"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1725</w:t>
            </w:r>
          </w:p>
        </w:tc>
      </w:tr>
      <w:tr w:rsidR="00000000">
        <w:tblPrEx>
          <w:tblCellMar>
            <w:top w:w="0" w:type="dxa"/>
            <w:bottom w:w="0" w:type="dxa"/>
          </w:tblCellMar>
        </w:tblPrEx>
        <w:trPr>
          <w:jc w:val="center"/>
        </w:trPr>
        <w:tc>
          <w:tcPr>
            <w:tcW w:w="2166"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Morris</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2,473</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1,812</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1529</w:t>
            </w:r>
          </w:p>
        </w:tc>
        <w:tc>
          <w:tcPr>
            <w:tcW w:w="1625"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1464</w:t>
            </w:r>
          </w:p>
        </w:tc>
      </w:tr>
      <w:tr w:rsidR="00000000">
        <w:tblPrEx>
          <w:tblCellMar>
            <w:top w:w="0" w:type="dxa"/>
            <w:bottom w:w="0" w:type="dxa"/>
          </w:tblCellMar>
        </w:tblPrEx>
        <w:trPr>
          <w:jc w:val="center"/>
        </w:trPr>
        <w:tc>
          <w:tcPr>
            <w:tcW w:w="2166"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Ocean</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3,091</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2,341</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1196</w:t>
            </w:r>
          </w:p>
        </w:tc>
        <w:tc>
          <w:tcPr>
            <w:tcW w:w="1625"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1291</w:t>
            </w:r>
          </w:p>
        </w:tc>
      </w:tr>
      <w:tr w:rsidR="00000000">
        <w:tblPrEx>
          <w:tblCellMar>
            <w:top w:w="0" w:type="dxa"/>
            <w:bottom w:w="0" w:type="dxa"/>
          </w:tblCellMar>
        </w:tblPrEx>
        <w:trPr>
          <w:jc w:val="center"/>
        </w:trPr>
        <w:tc>
          <w:tcPr>
            <w:tcW w:w="2166"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Pas</w:t>
            </w:r>
            <w:r>
              <w:rPr>
                <w:sz w:val="22"/>
              </w:rPr>
              <w:t>saic</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1,242</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881</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974</w:t>
            </w:r>
          </w:p>
        </w:tc>
        <w:tc>
          <w:tcPr>
            <w:tcW w:w="1625"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1126</w:t>
            </w:r>
          </w:p>
        </w:tc>
      </w:tr>
      <w:tr w:rsidR="00000000">
        <w:tblPrEx>
          <w:tblCellMar>
            <w:top w:w="0" w:type="dxa"/>
            <w:bottom w:w="0" w:type="dxa"/>
          </w:tblCellMar>
        </w:tblPrEx>
        <w:trPr>
          <w:jc w:val="center"/>
        </w:trPr>
        <w:tc>
          <w:tcPr>
            <w:tcW w:w="2166"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Salem</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1,234</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927</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5504</w:t>
            </w:r>
          </w:p>
        </w:tc>
        <w:tc>
          <w:tcPr>
            <w:tcW w:w="1625"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657</w:t>
            </w:r>
          </w:p>
        </w:tc>
      </w:tr>
      <w:tr w:rsidR="00000000">
        <w:tblPrEx>
          <w:tblCellMar>
            <w:top w:w="0" w:type="dxa"/>
            <w:bottom w:w="0" w:type="dxa"/>
          </w:tblCellMar>
        </w:tblPrEx>
        <w:trPr>
          <w:jc w:val="center"/>
        </w:trPr>
        <w:tc>
          <w:tcPr>
            <w:tcW w:w="2166"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Somerset</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1,435</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797</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744</w:t>
            </w:r>
          </w:p>
        </w:tc>
        <w:tc>
          <w:tcPr>
            <w:tcW w:w="1625"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1092</w:t>
            </w:r>
          </w:p>
        </w:tc>
      </w:tr>
      <w:tr w:rsidR="00000000">
        <w:tblPrEx>
          <w:tblCellMar>
            <w:top w:w="0" w:type="dxa"/>
            <w:bottom w:w="0" w:type="dxa"/>
          </w:tblCellMar>
        </w:tblPrEx>
        <w:trPr>
          <w:jc w:val="center"/>
        </w:trPr>
        <w:tc>
          <w:tcPr>
            <w:tcW w:w="2166" w:type="dxa"/>
            <w:tcBorders>
              <w:left w:val="double" w:sz="4" w:space="0" w:color="auto"/>
            </w:tcBorders>
          </w:tcPr>
          <w:p w:rsidR="00000000" w:rsidRDefault="00C40079">
            <w:pPr>
              <w:tabs>
                <w:tab w:val="left" w:pos="360"/>
                <w:tab w:val="left" w:pos="720"/>
                <w:tab w:val="left" w:pos="1080"/>
                <w:tab w:val="left" w:pos="1440"/>
                <w:tab w:val="left" w:pos="1800"/>
                <w:tab w:val="left" w:pos="2160"/>
              </w:tabs>
              <w:rPr>
                <w:sz w:val="22"/>
              </w:rPr>
            </w:pPr>
            <w:r>
              <w:rPr>
                <w:sz w:val="22"/>
              </w:rPr>
              <w:t>Sussex</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1,849</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1,449</w:t>
            </w:r>
          </w:p>
        </w:tc>
        <w:tc>
          <w:tcPr>
            <w:tcW w:w="162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733</w:t>
            </w:r>
          </w:p>
        </w:tc>
        <w:tc>
          <w:tcPr>
            <w:tcW w:w="1625"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674</w:t>
            </w:r>
          </w:p>
        </w:tc>
      </w:tr>
      <w:tr w:rsidR="00000000">
        <w:tblPrEx>
          <w:tblCellMar>
            <w:top w:w="0" w:type="dxa"/>
            <w:bottom w:w="0" w:type="dxa"/>
          </w:tblCellMar>
        </w:tblPrEx>
        <w:trPr>
          <w:jc w:val="center"/>
        </w:trPr>
        <w:tc>
          <w:tcPr>
            <w:tcW w:w="2166" w:type="dxa"/>
            <w:tcBorders>
              <w:left w:val="double" w:sz="4" w:space="0" w:color="auto"/>
              <w:bottom w:val="nil"/>
            </w:tcBorders>
          </w:tcPr>
          <w:p w:rsidR="00000000" w:rsidRDefault="00C40079">
            <w:pPr>
              <w:tabs>
                <w:tab w:val="left" w:pos="360"/>
                <w:tab w:val="left" w:pos="720"/>
                <w:tab w:val="left" w:pos="1080"/>
                <w:tab w:val="left" w:pos="1440"/>
                <w:tab w:val="left" w:pos="1800"/>
                <w:tab w:val="left" w:pos="2160"/>
              </w:tabs>
              <w:rPr>
                <w:sz w:val="22"/>
              </w:rPr>
            </w:pPr>
            <w:r>
              <w:rPr>
                <w:sz w:val="22"/>
              </w:rPr>
              <w:t>Union</w:t>
            </w:r>
          </w:p>
        </w:tc>
        <w:tc>
          <w:tcPr>
            <w:tcW w:w="1620"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1,569</w:t>
            </w:r>
          </w:p>
        </w:tc>
        <w:tc>
          <w:tcPr>
            <w:tcW w:w="1620"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1,330</w:t>
            </w:r>
          </w:p>
        </w:tc>
        <w:tc>
          <w:tcPr>
            <w:tcW w:w="1620"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3856</w:t>
            </w:r>
          </w:p>
        </w:tc>
        <w:tc>
          <w:tcPr>
            <w:tcW w:w="1625" w:type="dxa"/>
            <w:tcBorders>
              <w:bottom w:val="nil"/>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1467</w:t>
            </w:r>
          </w:p>
        </w:tc>
      </w:tr>
      <w:tr w:rsidR="00000000">
        <w:tblPrEx>
          <w:tblCellMar>
            <w:top w:w="0" w:type="dxa"/>
            <w:bottom w:w="0" w:type="dxa"/>
          </w:tblCellMar>
        </w:tblPrEx>
        <w:trPr>
          <w:trHeight w:val="104"/>
          <w:jc w:val="center"/>
        </w:trPr>
        <w:tc>
          <w:tcPr>
            <w:tcW w:w="2166" w:type="dxa"/>
            <w:tcBorders>
              <w:left w:val="double" w:sz="4" w:space="0" w:color="auto"/>
              <w:bottom w:val="nil"/>
            </w:tcBorders>
          </w:tcPr>
          <w:p w:rsidR="00000000" w:rsidRDefault="00C40079">
            <w:pPr>
              <w:tabs>
                <w:tab w:val="left" w:pos="360"/>
                <w:tab w:val="left" w:pos="720"/>
                <w:tab w:val="left" w:pos="1080"/>
                <w:tab w:val="left" w:pos="1440"/>
                <w:tab w:val="left" w:pos="1800"/>
                <w:tab w:val="left" w:pos="2160"/>
              </w:tabs>
              <w:rPr>
                <w:sz w:val="22"/>
              </w:rPr>
            </w:pPr>
            <w:r>
              <w:rPr>
                <w:sz w:val="22"/>
              </w:rPr>
              <w:t>Warren</w:t>
            </w:r>
          </w:p>
        </w:tc>
        <w:tc>
          <w:tcPr>
            <w:tcW w:w="1620"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1,629</w:t>
            </w:r>
          </w:p>
        </w:tc>
        <w:tc>
          <w:tcPr>
            <w:tcW w:w="1620"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1,205</w:t>
            </w:r>
          </w:p>
        </w:tc>
        <w:tc>
          <w:tcPr>
            <w:tcW w:w="1620"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643</w:t>
            </w:r>
          </w:p>
        </w:tc>
        <w:tc>
          <w:tcPr>
            <w:tcW w:w="1625" w:type="dxa"/>
            <w:tcBorders>
              <w:bottom w:val="nil"/>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688</w:t>
            </w:r>
          </w:p>
        </w:tc>
      </w:tr>
      <w:tr w:rsidR="00000000">
        <w:tblPrEx>
          <w:tblCellMar>
            <w:top w:w="0" w:type="dxa"/>
            <w:bottom w:w="0" w:type="dxa"/>
          </w:tblCellMar>
        </w:tblPrEx>
        <w:trPr>
          <w:jc w:val="center"/>
        </w:trPr>
        <w:tc>
          <w:tcPr>
            <w:tcW w:w="2166" w:type="dxa"/>
            <w:tcBorders>
              <w:top w:val="single" w:sz="18" w:space="0" w:color="000000"/>
              <w:left w:val="double" w:sz="4" w:space="0" w:color="auto"/>
              <w:bottom w:val="double" w:sz="4" w:space="0" w:color="auto"/>
            </w:tcBorders>
          </w:tcPr>
          <w:p w:rsidR="00000000" w:rsidRDefault="00C40079">
            <w:pPr>
              <w:tabs>
                <w:tab w:val="left" w:pos="360"/>
                <w:tab w:val="left" w:pos="720"/>
                <w:tab w:val="left" w:pos="1080"/>
                <w:tab w:val="left" w:pos="1440"/>
                <w:tab w:val="left" w:pos="1800"/>
                <w:tab w:val="left" w:pos="2160"/>
              </w:tabs>
              <w:rPr>
                <w:b/>
                <w:sz w:val="22"/>
              </w:rPr>
            </w:pPr>
            <w:r>
              <w:rPr>
                <w:b/>
                <w:sz w:val="22"/>
              </w:rPr>
              <w:t>Total in State</w:t>
            </w:r>
          </w:p>
        </w:tc>
        <w:tc>
          <w:tcPr>
            <w:tcW w:w="1620" w:type="dxa"/>
            <w:tcBorders>
              <w:top w:val="single" w:sz="18" w:space="0" w:color="000000"/>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41,538</w:t>
            </w:r>
          </w:p>
        </w:tc>
        <w:tc>
          <w:tcPr>
            <w:tcW w:w="1620" w:type="dxa"/>
            <w:tcBorders>
              <w:top w:val="single" w:sz="18" w:space="0" w:color="000000"/>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30,381</w:t>
            </w:r>
          </w:p>
        </w:tc>
        <w:tc>
          <w:tcPr>
            <w:tcW w:w="1620" w:type="dxa"/>
            <w:tcBorders>
              <w:top w:val="single" w:sz="18" w:space="0" w:color="000000"/>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94672</w:t>
            </w:r>
          </w:p>
        </w:tc>
        <w:tc>
          <w:tcPr>
            <w:tcW w:w="1625" w:type="dxa"/>
            <w:tcBorders>
              <w:top w:val="single" w:sz="18" w:space="0" w:color="000000"/>
              <w:bottom w:val="double" w:sz="4" w:space="0" w:color="auto"/>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25514</w:t>
            </w:r>
          </w:p>
        </w:tc>
      </w:tr>
    </w:tbl>
    <w:p w:rsidR="00000000" w:rsidRDefault="00C40079">
      <w:pPr>
        <w:tabs>
          <w:tab w:val="left" w:pos="720"/>
          <w:tab w:val="left" w:pos="1080"/>
          <w:tab w:val="left" w:pos="1440"/>
          <w:tab w:val="left" w:pos="1800"/>
          <w:tab w:val="left" w:pos="2160"/>
        </w:tabs>
        <w:rPr>
          <w:sz w:val="22"/>
        </w:rPr>
      </w:pPr>
      <w:r>
        <w:rPr>
          <w:sz w:val="22"/>
        </w:rPr>
        <w:t>NOTES:</w:t>
      </w:r>
    </w:p>
    <w:p w:rsidR="00000000" w:rsidRDefault="00C40079">
      <w:pPr>
        <w:numPr>
          <w:ilvl w:val="0"/>
          <w:numId w:val="53"/>
        </w:numPr>
        <w:tabs>
          <w:tab w:val="left" w:pos="720"/>
          <w:tab w:val="left" w:pos="1080"/>
          <w:tab w:val="left" w:pos="1440"/>
          <w:tab w:val="left" w:pos="1800"/>
          <w:tab w:val="left" w:pos="2160"/>
        </w:tabs>
        <w:rPr>
          <w:sz w:val="24"/>
        </w:rPr>
      </w:pPr>
      <w:r>
        <w:rPr>
          <w:sz w:val="22"/>
        </w:rPr>
        <w:t>These totals include adjusted emissions fr</w:t>
      </w:r>
      <w:r>
        <w:rPr>
          <w:sz w:val="22"/>
        </w:rPr>
        <w:t>om fugitive dust categories. See Attachment 2 of this report for further discussion.</w:t>
      </w:r>
    </w:p>
    <w:p w:rsidR="00000000" w:rsidRDefault="00C40079">
      <w:pPr>
        <w:tabs>
          <w:tab w:val="left" w:pos="720"/>
          <w:tab w:val="left" w:pos="1080"/>
          <w:tab w:val="left" w:pos="1440"/>
          <w:tab w:val="left" w:pos="1800"/>
          <w:tab w:val="left" w:pos="2160"/>
        </w:tabs>
        <w:rPr>
          <w:sz w:val="24"/>
        </w:rPr>
      </w:pPr>
    </w:p>
    <w:p w:rsidR="00000000" w:rsidRDefault="00C40079">
      <w:pPr>
        <w:pStyle w:val="Level2"/>
        <w:widowControl/>
        <w:tabs>
          <w:tab w:val="left" w:pos="720"/>
          <w:tab w:val="left" w:pos="1080"/>
          <w:tab w:val="left" w:pos="1440"/>
          <w:tab w:val="left" w:pos="1800"/>
          <w:tab w:val="left" w:pos="2160"/>
        </w:tabs>
        <w:sectPr w:rsidR="00000000">
          <w:type w:val="continuous"/>
          <w:pgSz w:w="12240" w:h="15840"/>
          <w:pgMar w:top="1440" w:right="1440" w:bottom="1440" w:left="1440" w:header="720" w:footer="720" w:gutter="0"/>
          <w:pgNumType w:start="1"/>
          <w:cols w:space="720"/>
          <w:docGrid w:linePitch="360"/>
        </w:sectPr>
      </w:pPr>
    </w:p>
    <w:p w:rsidR="00000000" w:rsidRDefault="00C40079">
      <w:pPr>
        <w:pStyle w:val="Heading3"/>
        <w:tabs>
          <w:tab w:val="left" w:pos="720"/>
          <w:tab w:val="left" w:pos="1080"/>
          <w:tab w:val="left" w:pos="1440"/>
          <w:tab w:val="left" w:pos="1800"/>
          <w:tab w:val="left" w:pos="2160"/>
        </w:tabs>
      </w:pPr>
      <w:bookmarkStart w:id="205" w:name="Table_XIX"/>
      <w:bookmarkStart w:id="206" w:name="_Hlt126642024"/>
      <w:bookmarkEnd w:id="206"/>
      <w:r>
        <w:lastRenderedPageBreak/>
        <w:t>Table XIX</w:t>
      </w:r>
      <w:bookmarkEnd w:id="205"/>
    </w:p>
    <w:p w:rsidR="00000000" w:rsidRDefault="00C40079">
      <w:pPr>
        <w:pStyle w:val="Heading3"/>
        <w:tabs>
          <w:tab w:val="left" w:pos="720"/>
          <w:tab w:val="left" w:pos="1080"/>
          <w:tab w:val="left" w:pos="1440"/>
          <w:tab w:val="left" w:pos="1800"/>
          <w:tab w:val="left" w:pos="2160"/>
        </w:tabs>
      </w:pPr>
      <w:r>
        <w:t>2002 Statewide Emission Inventory by County and Source Sector</w:t>
      </w:r>
    </w:p>
    <w:p w:rsidR="00000000" w:rsidRDefault="00C40079">
      <w:pPr>
        <w:pStyle w:val="Level2"/>
        <w:widowControl/>
        <w:tabs>
          <w:tab w:val="left" w:pos="720"/>
          <w:tab w:val="left" w:pos="1080"/>
          <w:tab w:val="left" w:pos="1440"/>
          <w:tab w:val="left" w:pos="1800"/>
          <w:tab w:val="left" w:pos="2160"/>
        </w:tabs>
      </w:pPr>
    </w:p>
    <w:tbl>
      <w:tblPr>
        <w:tblW w:w="0" w:type="auto"/>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AF" w:firstRow="1" w:lastRow="0" w:firstColumn="1" w:lastColumn="0" w:noHBand="0" w:noVBand="0"/>
      </w:tblPr>
      <w:tblGrid>
        <w:gridCol w:w="1440"/>
        <w:gridCol w:w="1165"/>
        <w:gridCol w:w="1075"/>
        <w:gridCol w:w="1254"/>
        <w:gridCol w:w="1165"/>
        <w:gridCol w:w="1200"/>
        <w:gridCol w:w="1308"/>
        <w:gridCol w:w="1075"/>
        <w:gridCol w:w="1343"/>
        <w:gridCol w:w="1075"/>
        <w:gridCol w:w="1238"/>
      </w:tblGrid>
      <w:tr w:rsidR="00000000">
        <w:tblPrEx>
          <w:tblCellMar>
            <w:top w:w="0" w:type="dxa"/>
            <w:bottom w:w="0" w:type="dxa"/>
          </w:tblCellMar>
        </w:tblPrEx>
        <w:trPr>
          <w:cantSplit/>
          <w:jc w:val="center"/>
        </w:trPr>
        <w:tc>
          <w:tcPr>
            <w:tcW w:w="1440" w:type="dxa"/>
            <w:vMerge w:val="restart"/>
            <w:tcBorders>
              <w:top w:val="double" w:sz="4" w:space="0" w:color="auto"/>
              <w:left w:val="double" w:sz="4" w:space="0" w:color="auto"/>
              <w:bottom w:val="nil"/>
              <w:right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p>
          <w:p w:rsidR="00000000" w:rsidRDefault="00C40079">
            <w:pPr>
              <w:tabs>
                <w:tab w:val="left" w:pos="360"/>
                <w:tab w:val="left" w:pos="720"/>
                <w:tab w:val="left" w:pos="1080"/>
                <w:tab w:val="left" w:pos="1440"/>
                <w:tab w:val="left" w:pos="1800"/>
                <w:tab w:val="left" w:pos="2160"/>
              </w:tabs>
              <w:jc w:val="center"/>
              <w:rPr>
                <w:b/>
                <w:sz w:val="22"/>
              </w:rPr>
            </w:pPr>
          </w:p>
          <w:p w:rsidR="00000000" w:rsidRDefault="00C40079">
            <w:pPr>
              <w:tabs>
                <w:tab w:val="left" w:pos="360"/>
                <w:tab w:val="left" w:pos="720"/>
                <w:tab w:val="left" w:pos="1080"/>
                <w:tab w:val="left" w:pos="1440"/>
                <w:tab w:val="left" w:pos="1800"/>
                <w:tab w:val="left" w:pos="2160"/>
              </w:tabs>
              <w:jc w:val="center"/>
              <w:rPr>
                <w:b/>
                <w:sz w:val="22"/>
              </w:rPr>
            </w:pPr>
          </w:p>
          <w:p w:rsidR="00000000" w:rsidRDefault="00C40079">
            <w:pPr>
              <w:tabs>
                <w:tab w:val="left" w:pos="360"/>
                <w:tab w:val="left" w:pos="720"/>
                <w:tab w:val="left" w:pos="1080"/>
                <w:tab w:val="left" w:pos="1440"/>
                <w:tab w:val="left" w:pos="1800"/>
                <w:tab w:val="left" w:pos="2160"/>
              </w:tabs>
              <w:jc w:val="center"/>
              <w:rPr>
                <w:b/>
                <w:sz w:val="22"/>
              </w:rPr>
            </w:pPr>
            <w:r>
              <w:rPr>
                <w:b/>
                <w:sz w:val="22"/>
              </w:rPr>
              <w:t>County</w:t>
            </w:r>
          </w:p>
        </w:tc>
        <w:tc>
          <w:tcPr>
            <w:tcW w:w="5859" w:type="dxa"/>
            <w:gridSpan w:val="5"/>
            <w:tcBorders>
              <w:top w:val="double" w:sz="4" w:space="0" w:color="auto"/>
              <w:left w:val="nil"/>
              <w:bottom w:val="nil"/>
              <w:right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VOC</w:t>
            </w:r>
          </w:p>
          <w:p w:rsidR="00000000" w:rsidRDefault="00C40079">
            <w:pPr>
              <w:tabs>
                <w:tab w:val="left" w:pos="360"/>
                <w:tab w:val="left" w:pos="720"/>
                <w:tab w:val="left" w:pos="1080"/>
                <w:tab w:val="left" w:pos="1440"/>
                <w:tab w:val="left" w:pos="1800"/>
                <w:tab w:val="left" w:pos="2160"/>
              </w:tabs>
              <w:jc w:val="center"/>
              <w:rPr>
                <w:b/>
                <w:sz w:val="22"/>
              </w:rPr>
            </w:pPr>
            <w:r>
              <w:rPr>
                <w:b/>
                <w:sz w:val="22"/>
              </w:rPr>
              <w:t>Tons per Summer Day</w:t>
            </w:r>
          </w:p>
        </w:tc>
        <w:tc>
          <w:tcPr>
            <w:tcW w:w="6039" w:type="dxa"/>
            <w:gridSpan w:val="5"/>
            <w:tcBorders>
              <w:top w:val="double" w:sz="4" w:space="0" w:color="auto"/>
              <w:left w:val="nil"/>
              <w:bottom w:val="nil"/>
              <w:right w:val="double" w:sz="4" w:space="0" w:color="auto"/>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VOC</w:t>
            </w:r>
          </w:p>
          <w:p w:rsidR="00000000" w:rsidRDefault="00C40079">
            <w:pPr>
              <w:tabs>
                <w:tab w:val="left" w:pos="360"/>
                <w:tab w:val="left" w:pos="720"/>
                <w:tab w:val="left" w:pos="1080"/>
                <w:tab w:val="left" w:pos="1440"/>
                <w:tab w:val="left" w:pos="1800"/>
                <w:tab w:val="left" w:pos="2160"/>
              </w:tabs>
              <w:jc w:val="center"/>
              <w:rPr>
                <w:b/>
                <w:sz w:val="22"/>
              </w:rPr>
            </w:pPr>
            <w:r>
              <w:rPr>
                <w:b/>
                <w:sz w:val="22"/>
              </w:rPr>
              <w:t>Tons per Year</w:t>
            </w:r>
          </w:p>
        </w:tc>
      </w:tr>
      <w:tr w:rsidR="00000000">
        <w:tblPrEx>
          <w:tblCellMar>
            <w:top w:w="0" w:type="dxa"/>
            <w:bottom w:w="0" w:type="dxa"/>
          </w:tblCellMar>
        </w:tblPrEx>
        <w:trPr>
          <w:cantSplit/>
          <w:jc w:val="center"/>
        </w:trPr>
        <w:tc>
          <w:tcPr>
            <w:tcW w:w="1440" w:type="dxa"/>
            <w:vMerge/>
            <w:tcBorders>
              <w:top w:val="nil"/>
              <w:left w:val="double" w:sz="4" w:space="0" w:color="auto"/>
              <w:bottom w:val="single" w:sz="24" w:space="0" w:color="000000"/>
              <w:right w:val="single" w:sz="24" w:space="0" w:color="000000"/>
            </w:tcBorders>
          </w:tcPr>
          <w:p w:rsidR="00000000" w:rsidRDefault="00C40079">
            <w:pPr>
              <w:tabs>
                <w:tab w:val="left" w:pos="360"/>
                <w:tab w:val="left" w:pos="720"/>
                <w:tab w:val="left" w:pos="1080"/>
                <w:tab w:val="left" w:pos="1440"/>
                <w:tab w:val="left" w:pos="1800"/>
                <w:tab w:val="left" w:pos="2160"/>
              </w:tabs>
              <w:jc w:val="center"/>
              <w:rPr>
                <w:sz w:val="22"/>
              </w:rPr>
            </w:pPr>
          </w:p>
        </w:tc>
        <w:tc>
          <w:tcPr>
            <w:tcW w:w="1165" w:type="dxa"/>
            <w:tcBorders>
              <w:top w:val="single" w:sz="12" w:space="0" w:color="000000"/>
              <w:left w:val="nil"/>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Point Sources</w:t>
            </w:r>
          </w:p>
        </w:tc>
        <w:tc>
          <w:tcPr>
            <w:tcW w:w="1075" w:type="dxa"/>
            <w:tcBorders>
              <w:top w:val="single" w:sz="12" w:space="0" w:color="000000"/>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Area Sources</w:t>
            </w:r>
          </w:p>
        </w:tc>
        <w:tc>
          <w:tcPr>
            <w:tcW w:w="1254" w:type="dxa"/>
            <w:tcBorders>
              <w:top w:val="single" w:sz="12" w:space="0" w:color="000000"/>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Onroad Sources</w:t>
            </w:r>
          </w:p>
        </w:tc>
        <w:tc>
          <w:tcPr>
            <w:tcW w:w="1165" w:type="dxa"/>
            <w:tcBorders>
              <w:top w:val="single" w:sz="12" w:space="0" w:color="000000"/>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Nonroad Sources</w:t>
            </w:r>
          </w:p>
        </w:tc>
        <w:tc>
          <w:tcPr>
            <w:tcW w:w="1200" w:type="dxa"/>
            <w:tcBorders>
              <w:top w:val="single" w:sz="12" w:space="0" w:color="000000"/>
              <w:bottom w:val="single" w:sz="24" w:space="0" w:color="000000"/>
              <w:right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Biogenic</w:t>
            </w:r>
          </w:p>
        </w:tc>
        <w:tc>
          <w:tcPr>
            <w:tcW w:w="1308" w:type="dxa"/>
            <w:tcBorders>
              <w:top w:val="single" w:sz="12" w:space="0" w:color="000000"/>
              <w:left w:val="nil"/>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Point Sources</w:t>
            </w:r>
          </w:p>
        </w:tc>
        <w:tc>
          <w:tcPr>
            <w:tcW w:w="1075" w:type="dxa"/>
            <w:tcBorders>
              <w:top w:val="single" w:sz="12" w:space="0" w:color="000000"/>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Area Sources</w:t>
            </w:r>
          </w:p>
        </w:tc>
        <w:tc>
          <w:tcPr>
            <w:tcW w:w="1343" w:type="dxa"/>
            <w:tcBorders>
              <w:top w:val="single" w:sz="12" w:space="0" w:color="000000"/>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Onroad Sources</w:t>
            </w:r>
          </w:p>
        </w:tc>
        <w:tc>
          <w:tcPr>
            <w:tcW w:w="1075" w:type="dxa"/>
            <w:tcBorders>
              <w:top w:val="single" w:sz="12" w:space="0" w:color="000000"/>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Nonroad Sources</w:t>
            </w:r>
          </w:p>
        </w:tc>
        <w:tc>
          <w:tcPr>
            <w:tcW w:w="1238" w:type="dxa"/>
            <w:tcBorders>
              <w:top w:val="single" w:sz="12" w:space="0" w:color="000000"/>
              <w:bottom w:val="single" w:sz="24" w:space="0" w:color="000000"/>
              <w:right w:val="double" w:sz="4" w:space="0" w:color="auto"/>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Biogenic</w:t>
            </w:r>
          </w:p>
        </w:tc>
      </w:tr>
      <w:tr w:rsidR="00000000">
        <w:tblPrEx>
          <w:tblCellMar>
            <w:top w:w="0" w:type="dxa"/>
            <w:bottom w:w="0" w:type="dxa"/>
          </w:tblCellMar>
        </w:tblPrEx>
        <w:trPr>
          <w:cantSplit/>
          <w:jc w:val="center"/>
        </w:trPr>
        <w:tc>
          <w:tcPr>
            <w:tcW w:w="1440" w:type="dxa"/>
            <w:tcBorders>
              <w:top w:val="nil"/>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 xml:space="preserve">Atlantic </w:t>
            </w:r>
          </w:p>
        </w:tc>
        <w:tc>
          <w:tcPr>
            <w:tcW w:w="1165" w:type="dxa"/>
            <w:tcBorders>
              <w:top w:val="nil"/>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0.15</w:t>
            </w:r>
          </w:p>
        </w:tc>
        <w:tc>
          <w:tcPr>
            <w:tcW w:w="1075" w:type="dxa"/>
            <w:tcBorders>
              <w:top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11.04</w:t>
            </w:r>
          </w:p>
        </w:tc>
        <w:tc>
          <w:tcPr>
            <w:tcW w:w="1254" w:type="dxa"/>
            <w:tcBorders>
              <w:top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12.85</w:t>
            </w:r>
          </w:p>
        </w:tc>
        <w:tc>
          <w:tcPr>
            <w:tcW w:w="1165" w:type="dxa"/>
            <w:tcBorders>
              <w:top w:val="nil"/>
            </w:tcBorders>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10.25</w:t>
            </w:r>
          </w:p>
        </w:tc>
        <w:tc>
          <w:tcPr>
            <w:tcW w:w="1200" w:type="dxa"/>
            <w:tcBorders>
              <w:top w:val="nil"/>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40.38</w:t>
            </w:r>
          </w:p>
        </w:tc>
        <w:tc>
          <w:tcPr>
            <w:tcW w:w="1308" w:type="dxa"/>
            <w:tcBorders>
              <w:top w:val="nil"/>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52</w:t>
            </w:r>
          </w:p>
        </w:tc>
        <w:tc>
          <w:tcPr>
            <w:tcW w:w="1075" w:type="dxa"/>
            <w:tcBorders>
              <w:top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5,492</w:t>
            </w:r>
          </w:p>
        </w:tc>
        <w:tc>
          <w:tcPr>
            <w:tcW w:w="1343" w:type="dxa"/>
            <w:tcBorders>
              <w:top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3,613</w:t>
            </w:r>
          </w:p>
        </w:tc>
        <w:tc>
          <w:tcPr>
            <w:tcW w:w="1075" w:type="dxa"/>
            <w:tcBorders>
              <w:top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3,521</w:t>
            </w:r>
          </w:p>
        </w:tc>
        <w:tc>
          <w:tcPr>
            <w:tcW w:w="1238" w:type="dxa"/>
            <w:tcBorders>
              <w:top w:val="nil"/>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14,748</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 xml:space="preserve">Bergen </w:t>
            </w:r>
          </w:p>
        </w:tc>
        <w:tc>
          <w:tcPr>
            <w:tcW w:w="1165"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5.72</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36.86</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36.09</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22.05</w:t>
            </w:r>
          </w:p>
        </w:tc>
        <w:tc>
          <w:tcPr>
            <w:tcW w:w="1200"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4.60</w:t>
            </w:r>
          </w:p>
        </w:tc>
        <w:tc>
          <w:tcPr>
            <w:tcW w:w="1308"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773</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11,243</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14,048</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6,361</w:t>
            </w:r>
          </w:p>
        </w:tc>
        <w:tc>
          <w:tcPr>
            <w:tcW w:w="1238"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1,681</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 xml:space="preserve">Burlington </w:t>
            </w:r>
          </w:p>
        </w:tc>
        <w:tc>
          <w:tcPr>
            <w:tcW w:w="1165"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4.02</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17.54</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15.80</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10.01</w:t>
            </w:r>
          </w:p>
        </w:tc>
        <w:tc>
          <w:tcPr>
            <w:tcW w:w="1200"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39.84</w:t>
            </w:r>
          </w:p>
        </w:tc>
        <w:tc>
          <w:tcPr>
            <w:tcW w:w="1308"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927</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7,057</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6,278</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3,000</w:t>
            </w:r>
          </w:p>
        </w:tc>
        <w:tc>
          <w:tcPr>
            <w:tcW w:w="1238"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14,552</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Camden</w:t>
            </w:r>
          </w:p>
        </w:tc>
        <w:tc>
          <w:tcPr>
            <w:tcW w:w="1165"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1.23</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22.68</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13.80</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7.23</w:t>
            </w:r>
          </w:p>
        </w:tc>
        <w:tc>
          <w:tcPr>
            <w:tcW w:w="1200"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20.06</w:t>
            </w:r>
          </w:p>
        </w:tc>
        <w:tc>
          <w:tcPr>
            <w:tcW w:w="1308"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453</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7,228</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5,512</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2,110</w:t>
            </w:r>
          </w:p>
        </w:tc>
        <w:tc>
          <w:tcPr>
            <w:tcW w:w="1238"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7,326</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Cape May</w:t>
            </w:r>
          </w:p>
        </w:tc>
        <w:tc>
          <w:tcPr>
            <w:tcW w:w="1165"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0.20</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5.26</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4.72</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22.61</w:t>
            </w:r>
          </w:p>
        </w:tc>
        <w:tc>
          <w:tcPr>
            <w:tcW w:w="1200"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19.55</w:t>
            </w:r>
          </w:p>
        </w:tc>
        <w:tc>
          <w:tcPr>
            <w:tcW w:w="1308"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39</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2,474</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1,348</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8,480</w:t>
            </w:r>
          </w:p>
        </w:tc>
        <w:tc>
          <w:tcPr>
            <w:tcW w:w="1238"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7,140</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Cumberland</w:t>
            </w:r>
          </w:p>
        </w:tc>
        <w:tc>
          <w:tcPr>
            <w:tcW w:w="1165"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0.46</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8.93</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5.37</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11.03</w:t>
            </w:r>
          </w:p>
        </w:tc>
        <w:tc>
          <w:tcPr>
            <w:tcW w:w="1200"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28.41</w:t>
            </w:r>
          </w:p>
        </w:tc>
        <w:tc>
          <w:tcPr>
            <w:tcW w:w="1308"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102</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3,208</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1,492</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4,196</w:t>
            </w:r>
          </w:p>
        </w:tc>
        <w:tc>
          <w:tcPr>
            <w:tcW w:w="1238"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10,377</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Essex</w:t>
            </w:r>
          </w:p>
        </w:tc>
        <w:tc>
          <w:tcPr>
            <w:tcW w:w="1165"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2.95</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31.53</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18.26</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11.92</w:t>
            </w:r>
          </w:p>
        </w:tc>
        <w:tc>
          <w:tcPr>
            <w:tcW w:w="1200"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3.40</w:t>
            </w:r>
          </w:p>
        </w:tc>
        <w:tc>
          <w:tcPr>
            <w:tcW w:w="1308"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791</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9,568</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7,238</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3,739</w:t>
            </w:r>
          </w:p>
        </w:tc>
        <w:tc>
          <w:tcPr>
            <w:tcW w:w="1238"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1,244</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Gloucester</w:t>
            </w:r>
          </w:p>
        </w:tc>
        <w:tc>
          <w:tcPr>
            <w:tcW w:w="1165"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32.01</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20.39</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9.10</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5.91</w:t>
            </w:r>
          </w:p>
        </w:tc>
        <w:tc>
          <w:tcPr>
            <w:tcW w:w="1200"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16.83</w:t>
            </w:r>
          </w:p>
        </w:tc>
        <w:tc>
          <w:tcPr>
            <w:tcW w:w="1308"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11,560</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7,032</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3,650</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1,686</w:t>
            </w:r>
          </w:p>
        </w:tc>
        <w:tc>
          <w:tcPr>
            <w:tcW w:w="1238"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6,148</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Hudson</w:t>
            </w:r>
          </w:p>
        </w:tc>
        <w:tc>
          <w:tcPr>
            <w:tcW w:w="1165"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7.33</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21.09</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9.10</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5.22</w:t>
            </w:r>
          </w:p>
        </w:tc>
        <w:tc>
          <w:tcPr>
            <w:tcW w:w="1200"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3.27</w:t>
            </w:r>
          </w:p>
        </w:tc>
        <w:tc>
          <w:tcPr>
            <w:tcW w:w="1308"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2,104</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6,628</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3,567</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1,617</w:t>
            </w:r>
          </w:p>
        </w:tc>
        <w:tc>
          <w:tcPr>
            <w:tcW w:w="1238"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1,195</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Hunterdon</w:t>
            </w:r>
          </w:p>
        </w:tc>
        <w:tc>
          <w:tcPr>
            <w:tcW w:w="1165"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0.64</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5.49</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5.99</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3.66</w:t>
            </w:r>
          </w:p>
        </w:tc>
        <w:tc>
          <w:tcPr>
            <w:tcW w:w="1200"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12.44</w:t>
            </w:r>
          </w:p>
        </w:tc>
        <w:tc>
          <w:tcPr>
            <w:tcW w:w="1308"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144</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2,468</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2,441</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1,038</w:t>
            </w:r>
          </w:p>
        </w:tc>
        <w:tc>
          <w:tcPr>
            <w:tcW w:w="1238"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4,545</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Mercer</w:t>
            </w:r>
          </w:p>
        </w:tc>
        <w:tc>
          <w:tcPr>
            <w:tcW w:w="1165"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2.1</w:t>
            </w:r>
            <w:r>
              <w:rPr>
                <w:sz w:val="22"/>
              </w:rPr>
              <w:t>3</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13.06</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11.60</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7.01</w:t>
            </w:r>
          </w:p>
        </w:tc>
        <w:tc>
          <w:tcPr>
            <w:tcW w:w="1200"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12.65</w:t>
            </w:r>
          </w:p>
        </w:tc>
        <w:tc>
          <w:tcPr>
            <w:tcW w:w="1308"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446</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4,445</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4,636</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1,922</w:t>
            </w:r>
          </w:p>
        </w:tc>
        <w:tc>
          <w:tcPr>
            <w:tcW w:w="1238"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4,619</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Middlesex</w:t>
            </w:r>
          </w:p>
        </w:tc>
        <w:tc>
          <w:tcPr>
            <w:tcW w:w="1165"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16.08</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34.87</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26.00</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14.58</w:t>
            </w:r>
          </w:p>
        </w:tc>
        <w:tc>
          <w:tcPr>
            <w:tcW w:w="1200"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12.78</w:t>
            </w:r>
          </w:p>
        </w:tc>
        <w:tc>
          <w:tcPr>
            <w:tcW w:w="1308"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4,366</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10,594</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10,478</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4,115</w:t>
            </w:r>
          </w:p>
        </w:tc>
        <w:tc>
          <w:tcPr>
            <w:tcW w:w="1238"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4,669</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Monmouth</w:t>
            </w:r>
          </w:p>
        </w:tc>
        <w:tc>
          <w:tcPr>
            <w:tcW w:w="1165"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1.37</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24.65</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22.26</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21.26</w:t>
            </w:r>
          </w:p>
        </w:tc>
        <w:tc>
          <w:tcPr>
            <w:tcW w:w="1200"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22.00</w:t>
            </w:r>
          </w:p>
        </w:tc>
        <w:tc>
          <w:tcPr>
            <w:tcW w:w="1308"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287</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8,477</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8,973</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6,996</w:t>
            </w:r>
          </w:p>
        </w:tc>
        <w:tc>
          <w:tcPr>
            <w:tcW w:w="1238"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8,036</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Morris</w:t>
            </w:r>
          </w:p>
        </w:tc>
        <w:tc>
          <w:tcPr>
            <w:tcW w:w="1165"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1.27</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20.81</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18.87</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15.09</w:t>
            </w:r>
          </w:p>
        </w:tc>
        <w:tc>
          <w:tcPr>
            <w:tcW w:w="1200"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13.75</w:t>
            </w:r>
          </w:p>
        </w:tc>
        <w:tc>
          <w:tcPr>
            <w:tcW w:w="1308"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309</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7,947</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7,662</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4,211</w:t>
            </w:r>
          </w:p>
        </w:tc>
        <w:tc>
          <w:tcPr>
            <w:tcW w:w="1238"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5,02</w:t>
            </w:r>
            <w:r>
              <w:rPr>
                <w:snapToGrid w:val="0"/>
                <w:color w:val="000000"/>
                <w:sz w:val="22"/>
              </w:rPr>
              <w:t>4</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Ocean</w:t>
            </w:r>
          </w:p>
        </w:tc>
        <w:tc>
          <w:tcPr>
            <w:tcW w:w="1165"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0.26</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24.01</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14.30</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21.54</w:t>
            </w:r>
          </w:p>
        </w:tc>
        <w:tc>
          <w:tcPr>
            <w:tcW w:w="1200"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43.80</w:t>
            </w:r>
          </w:p>
        </w:tc>
        <w:tc>
          <w:tcPr>
            <w:tcW w:w="1308"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76</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7,746</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5,792</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7,714</w:t>
            </w:r>
          </w:p>
        </w:tc>
        <w:tc>
          <w:tcPr>
            <w:tcW w:w="1238"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15,998</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Passaic</w:t>
            </w:r>
          </w:p>
        </w:tc>
        <w:tc>
          <w:tcPr>
            <w:tcW w:w="1165"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1.99</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19.84</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10.22</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6.62</w:t>
            </w:r>
          </w:p>
        </w:tc>
        <w:tc>
          <w:tcPr>
            <w:tcW w:w="1200"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11.04</w:t>
            </w:r>
          </w:p>
        </w:tc>
        <w:tc>
          <w:tcPr>
            <w:tcW w:w="1308"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253</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6,537</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4,109</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2,081</w:t>
            </w:r>
          </w:p>
        </w:tc>
        <w:tc>
          <w:tcPr>
            <w:tcW w:w="1238"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4,034</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Salem</w:t>
            </w:r>
          </w:p>
        </w:tc>
        <w:tc>
          <w:tcPr>
            <w:tcW w:w="1165"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4.92</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3.47</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4.23</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3.37</w:t>
            </w:r>
          </w:p>
        </w:tc>
        <w:tc>
          <w:tcPr>
            <w:tcW w:w="1200"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18.64</w:t>
            </w:r>
          </w:p>
        </w:tc>
        <w:tc>
          <w:tcPr>
            <w:tcW w:w="1308"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1,034</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1,516</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1,205</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1,162</w:t>
            </w:r>
          </w:p>
        </w:tc>
        <w:tc>
          <w:tcPr>
            <w:tcW w:w="1238"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6,809</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Somerset</w:t>
            </w:r>
          </w:p>
        </w:tc>
        <w:tc>
          <w:tcPr>
            <w:tcW w:w="1165"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0.73</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12.29</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10.65</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6.87</w:t>
            </w:r>
          </w:p>
        </w:tc>
        <w:tc>
          <w:tcPr>
            <w:tcW w:w="1200"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12.20</w:t>
            </w:r>
          </w:p>
        </w:tc>
        <w:tc>
          <w:tcPr>
            <w:tcW w:w="1308"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224</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4,075</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4,311</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1,898</w:t>
            </w:r>
          </w:p>
        </w:tc>
        <w:tc>
          <w:tcPr>
            <w:tcW w:w="1238"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w:t>
            </w:r>
            <w:r>
              <w:rPr>
                <w:snapToGrid w:val="0"/>
                <w:color w:val="000000"/>
                <w:sz w:val="22"/>
              </w:rPr>
              <w:t>455</w:t>
            </w:r>
          </w:p>
        </w:tc>
      </w:tr>
      <w:tr w:rsidR="00000000">
        <w:tblPrEx>
          <w:tblCellMar>
            <w:top w:w="0" w:type="dxa"/>
            <w:bottom w:w="0" w:type="dxa"/>
          </w:tblCellMar>
        </w:tblPrEx>
        <w:trPr>
          <w:cantSplit/>
          <w:jc w:val="center"/>
        </w:trPr>
        <w:tc>
          <w:tcPr>
            <w:tcW w:w="1440" w:type="dxa"/>
            <w:tcBorders>
              <w:left w:val="double" w:sz="4" w:space="0" w:color="auto"/>
              <w:bottom w:val="nil"/>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Sussex</w:t>
            </w:r>
          </w:p>
        </w:tc>
        <w:tc>
          <w:tcPr>
            <w:tcW w:w="1165" w:type="dxa"/>
            <w:tcBorders>
              <w:left w:val="nil"/>
              <w:bottom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0.25</w:t>
            </w:r>
          </w:p>
        </w:tc>
        <w:tc>
          <w:tcPr>
            <w:tcW w:w="1075"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5.69</w:t>
            </w:r>
          </w:p>
        </w:tc>
        <w:tc>
          <w:tcPr>
            <w:tcW w:w="1254"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4.62</w:t>
            </w:r>
          </w:p>
        </w:tc>
        <w:tc>
          <w:tcPr>
            <w:tcW w:w="1165" w:type="dxa"/>
            <w:tcBorders>
              <w:bottom w:val="nil"/>
            </w:tcBorders>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3.86</w:t>
            </w:r>
          </w:p>
        </w:tc>
        <w:tc>
          <w:tcPr>
            <w:tcW w:w="1200" w:type="dxa"/>
            <w:tcBorders>
              <w:bottom w:val="nil"/>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20.48</w:t>
            </w:r>
          </w:p>
        </w:tc>
        <w:tc>
          <w:tcPr>
            <w:tcW w:w="1308" w:type="dxa"/>
            <w:tcBorders>
              <w:left w:val="nil"/>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38</w:t>
            </w:r>
          </w:p>
        </w:tc>
        <w:tc>
          <w:tcPr>
            <w:tcW w:w="1075"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3,656</w:t>
            </w:r>
          </w:p>
        </w:tc>
        <w:tc>
          <w:tcPr>
            <w:tcW w:w="1343"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1,881</w:t>
            </w:r>
          </w:p>
        </w:tc>
        <w:tc>
          <w:tcPr>
            <w:tcW w:w="1075"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1,490</w:t>
            </w:r>
          </w:p>
        </w:tc>
        <w:tc>
          <w:tcPr>
            <w:tcW w:w="1238" w:type="dxa"/>
            <w:tcBorders>
              <w:bottom w:val="nil"/>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7,479</w:t>
            </w:r>
          </w:p>
        </w:tc>
      </w:tr>
      <w:tr w:rsidR="00000000">
        <w:tblPrEx>
          <w:tblCellMar>
            <w:top w:w="0" w:type="dxa"/>
            <w:bottom w:w="0" w:type="dxa"/>
          </w:tblCellMar>
        </w:tblPrEx>
        <w:trPr>
          <w:cantSplit/>
          <w:jc w:val="center"/>
        </w:trPr>
        <w:tc>
          <w:tcPr>
            <w:tcW w:w="1440" w:type="dxa"/>
            <w:tcBorders>
              <w:top w:val="single" w:sz="2" w:space="0" w:color="000000"/>
              <w:left w:val="double" w:sz="4" w:space="0" w:color="auto"/>
              <w:bottom w:val="nil"/>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Union</w:t>
            </w:r>
          </w:p>
        </w:tc>
        <w:tc>
          <w:tcPr>
            <w:tcW w:w="1165" w:type="dxa"/>
            <w:tcBorders>
              <w:top w:val="single" w:sz="2" w:space="0" w:color="000000"/>
              <w:left w:val="nil"/>
              <w:bottom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26.56</w:t>
            </w:r>
          </w:p>
        </w:tc>
        <w:tc>
          <w:tcPr>
            <w:tcW w:w="1075" w:type="dxa"/>
            <w:tcBorders>
              <w:top w:val="single" w:sz="2" w:space="0" w:color="000000"/>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25.26</w:t>
            </w:r>
          </w:p>
        </w:tc>
        <w:tc>
          <w:tcPr>
            <w:tcW w:w="1254" w:type="dxa"/>
            <w:tcBorders>
              <w:top w:val="single" w:sz="2" w:space="0" w:color="000000"/>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15.92</w:t>
            </w:r>
          </w:p>
        </w:tc>
        <w:tc>
          <w:tcPr>
            <w:tcW w:w="1165" w:type="dxa"/>
            <w:tcBorders>
              <w:top w:val="single" w:sz="2" w:space="0" w:color="000000"/>
              <w:bottom w:val="nil"/>
            </w:tcBorders>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7.75</w:t>
            </w:r>
          </w:p>
        </w:tc>
        <w:tc>
          <w:tcPr>
            <w:tcW w:w="1200" w:type="dxa"/>
            <w:tcBorders>
              <w:top w:val="single" w:sz="2" w:space="0" w:color="000000"/>
              <w:bottom w:val="nil"/>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2.31</w:t>
            </w:r>
          </w:p>
        </w:tc>
        <w:tc>
          <w:tcPr>
            <w:tcW w:w="1308" w:type="dxa"/>
            <w:tcBorders>
              <w:top w:val="single" w:sz="2" w:space="0" w:color="000000"/>
              <w:left w:val="nil"/>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5,382</w:t>
            </w:r>
          </w:p>
        </w:tc>
        <w:tc>
          <w:tcPr>
            <w:tcW w:w="1075" w:type="dxa"/>
            <w:tcBorders>
              <w:top w:val="single" w:sz="2" w:space="0" w:color="000000"/>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7,652</w:t>
            </w:r>
          </w:p>
        </w:tc>
        <w:tc>
          <w:tcPr>
            <w:tcW w:w="1343" w:type="dxa"/>
            <w:tcBorders>
              <w:top w:val="single" w:sz="2" w:space="0" w:color="000000"/>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6,354</w:t>
            </w:r>
          </w:p>
        </w:tc>
        <w:tc>
          <w:tcPr>
            <w:tcW w:w="1075" w:type="dxa"/>
            <w:tcBorders>
              <w:top w:val="single" w:sz="2" w:space="0" w:color="000000"/>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2,237</w:t>
            </w:r>
          </w:p>
        </w:tc>
        <w:tc>
          <w:tcPr>
            <w:tcW w:w="1238" w:type="dxa"/>
            <w:tcBorders>
              <w:top w:val="single" w:sz="2" w:space="0" w:color="000000"/>
              <w:bottom w:val="nil"/>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843</w:t>
            </w:r>
          </w:p>
        </w:tc>
      </w:tr>
      <w:tr w:rsidR="00000000">
        <w:tblPrEx>
          <w:tblCellMar>
            <w:top w:w="0" w:type="dxa"/>
            <w:bottom w:w="0" w:type="dxa"/>
          </w:tblCellMar>
        </w:tblPrEx>
        <w:trPr>
          <w:cantSplit/>
          <w:jc w:val="center"/>
        </w:trPr>
        <w:tc>
          <w:tcPr>
            <w:tcW w:w="1440" w:type="dxa"/>
            <w:tcBorders>
              <w:top w:val="single" w:sz="2" w:space="0" w:color="000000"/>
              <w:left w:val="double" w:sz="4" w:space="0" w:color="auto"/>
              <w:bottom w:val="single" w:sz="24" w:space="0" w:color="000000"/>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Warren</w:t>
            </w:r>
          </w:p>
        </w:tc>
        <w:tc>
          <w:tcPr>
            <w:tcW w:w="1165" w:type="dxa"/>
            <w:tcBorders>
              <w:top w:val="single" w:sz="2" w:space="0" w:color="000000"/>
              <w:left w:val="nil"/>
              <w:bottom w:val="single" w:sz="24" w:space="0" w:color="000000"/>
            </w:tcBorders>
          </w:tcPr>
          <w:p w:rsidR="00000000" w:rsidRDefault="00C40079">
            <w:pPr>
              <w:tabs>
                <w:tab w:val="left" w:pos="360"/>
                <w:tab w:val="left" w:pos="720"/>
                <w:tab w:val="left" w:pos="1080"/>
                <w:tab w:val="left" w:pos="1440"/>
                <w:tab w:val="left" w:pos="1800"/>
                <w:tab w:val="left" w:pos="2160"/>
              </w:tabs>
              <w:jc w:val="right"/>
              <w:rPr>
                <w:sz w:val="22"/>
              </w:rPr>
            </w:pPr>
            <w:r>
              <w:rPr>
                <w:sz w:val="22"/>
              </w:rPr>
              <w:t>2.88</w:t>
            </w:r>
          </w:p>
        </w:tc>
        <w:tc>
          <w:tcPr>
            <w:tcW w:w="1075" w:type="dxa"/>
            <w:tcBorders>
              <w:top w:val="single" w:sz="2" w:space="0" w:color="000000"/>
              <w:bottom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5.07</w:t>
            </w:r>
          </w:p>
        </w:tc>
        <w:tc>
          <w:tcPr>
            <w:tcW w:w="1254" w:type="dxa"/>
            <w:tcBorders>
              <w:top w:val="single" w:sz="2" w:space="0" w:color="000000"/>
              <w:bottom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4.99</w:t>
            </w:r>
          </w:p>
        </w:tc>
        <w:tc>
          <w:tcPr>
            <w:tcW w:w="1165" w:type="dxa"/>
            <w:tcBorders>
              <w:top w:val="single" w:sz="2" w:space="0" w:color="000000"/>
              <w:bottom w:val="single" w:sz="24" w:space="0" w:color="000000"/>
            </w:tcBorders>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2.78</w:t>
            </w:r>
          </w:p>
        </w:tc>
        <w:tc>
          <w:tcPr>
            <w:tcW w:w="1200" w:type="dxa"/>
            <w:tcBorders>
              <w:top w:val="single" w:sz="2" w:space="0" w:color="000000"/>
              <w:bottom w:val="single" w:sz="24" w:space="0" w:color="000000"/>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13.50</w:t>
            </w:r>
          </w:p>
        </w:tc>
        <w:tc>
          <w:tcPr>
            <w:tcW w:w="1308" w:type="dxa"/>
            <w:tcBorders>
              <w:top w:val="single" w:sz="2" w:space="0" w:color="000000"/>
              <w:left w:val="nil"/>
              <w:bottom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809</w:t>
            </w:r>
          </w:p>
        </w:tc>
        <w:tc>
          <w:tcPr>
            <w:tcW w:w="1075" w:type="dxa"/>
            <w:tcBorders>
              <w:top w:val="single" w:sz="2" w:space="0" w:color="000000"/>
              <w:bottom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2,631</w:t>
            </w:r>
          </w:p>
        </w:tc>
        <w:tc>
          <w:tcPr>
            <w:tcW w:w="1343" w:type="dxa"/>
            <w:tcBorders>
              <w:top w:val="single" w:sz="2" w:space="0" w:color="000000"/>
              <w:bottom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2,001</w:t>
            </w:r>
          </w:p>
        </w:tc>
        <w:tc>
          <w:tcPr>
            <w:tcW w:w="1075" w:type="dxa"/>
            <w:tcBorders>
              <w:top w:val="single" w:sz="2" w:space="0" w:color="000000"/>
              <w:bottom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832</w:t>
            </w:r>
          </w:p>
        </w:tc>
        <w:tc>
          <w:tcPr>
            <w:tcW w:w="1238" w:type="dxa"/>
            <w:tcBorders>
              <w:top w:val="single" w:sz="2" w:space="0" w:color="000000"/>
              <w:bottom w:val="single" w:sz="24" w:space="0" w:color="000000"/>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4,931</w:t>
            </w:r>
          </w:p>
        </w:tc>
      </w:tr>
      <w:tr w:rsidR="00000000">
        <w:tblPrEx>
          <w:tblCellMar>
            <w:top w:w="0" w:type="dxa"/>
            <w:bottom w:w="0" w:type="dxa"/>
          </w:tblCellMar>
        </w:tblPrEx>
        <w:trPr>
          <w:cantSplit/>
          <w:trHeight w:val="372"/>
          <w:jc w:val="center"/>
        </w:trPr>
        <w:tc>
          <w:tcPr>
            <w:tcW w:w="1440" w:type="dxa"/>
            <w:tcBorders>
              <w:top w:val="nil"/>
              <w:left w:val="double" w:sz="4" w:space="0" w:color="auto"/>
              <w:bottom w:val="double" w:sz="4" w:space="0" w:color="auto"/>
              <w:right w:val="single" w:sz="24" w:space="0" w:color="000000"/>
            </w:tcBorders>
            <w:vAlign w:val="center"/>
          </w:tcPr>
          <w:p w:rsidR="00000000" w:rsidRDefault="00C40079">
            <w:pPr>
              <w:tabs>
                <w:tab w:val="left" w:pos="360"/>
                <w:tab w:val="left" w:pos="720"/>
                <w:tab w:val="left" w:pos="1080"/>
                <w:tab w:val="left" w:pos="1440"/>
                <w:tab w:val="left" w:pos="1800"/>
                <w:tab w:val="left" w:pos="2160"/>
              </w:tabs>
              <w:rPr>
                <w:sz w:val="22"/>
              </w:rPr>
            </w:pPr>
            <w:r>
              <w:rPr>
                <w:sz w:val="22"/>
              </w:rPr>
              <w:t>Total in State</w:t>
            </w:r>
          </w:p>
        </w:tc>
        <w:tc>
          <w:tcPr>
            <w:tcW w:w="1165" w:type="dxa"/>
            <w:tcBorders>
              <w:top w:val="nil"/>
              <w:left w:val="nil"/>
              <w:bottom w:val="double" w:sz="4" w:space="0" w:color="auto"/>
            </w:tcBorders>
            <w:vAlign w:val="center"/>
          </w:tcPr>
          <w:p w:rsidR="00000000" w:rsidRDefault="00C40079">
            <w:pPr>
              <w:tabs>
                <w:tab w:val="left" w:pos="360"/>
                <w:tab w:val="left" w:pos="720"/>
                <w:tab w:val="left" w:pos="1080"/>
                <w:tab w:val="left" w:pos="1440"/>
                <w:tab w:val="left" w:pos="1800"/>
                <w:tab w:val="left" w:pos="2160"/>
              </w:tabs>
              <w:jc w:val="right"/>
              <w:rPr>
                <w:sz w:val="22"/>
              </w:rPr>
            </w:pPr>
            <w:r>
              <w:rPr>
                <w:sz w:val="22"/>
              </w:rPr>
              <w:t>113.15</w:t>
            </w:r>
          </w:p>
        </w:tc>
        <w:tc>
          <w:tcPr>
            <w:tcW w:w="1075" w:type="dxa"/>
            <w:tcBorders>
              <w:top w:val="nil"/>
              <w:bottom w:val="double" w:sz="4" w:space="0" w:color="auto"/>
            </w:tcBorders>
            <w:vAlign w:val="center"/>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369.83</w:t>
            </w:r>
          </w:p>
        </w:tc>
        <w:tc>
          <w:tcPr>
            <w:tcW w:w="1254" w:type="dxa"/>
            <w:tcBorders>
              <w:top w:val="nil"/>
              <w:bottom w:val="double" w:sz="4" w:space="0" w:color="auto"/>
            </w:tcBorders>
            <w:vAlign w:val="center"/>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274.74</w:t>
            </w:r>
          </w:p>
        </w:tc>
        <w:tc>
          <w:tcPr>
            <w:tcW w:w="1165" w:type="dxa"/>
            <w:tcBorders>
              <w:top w:val="nil"/>
              <w:bottom w:val="double" w:sz="4" w:space="0" w:color="auto"/>
            </w:tcBorders>
            <w:vAlign w:val="center"/>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220.60</w:t>
            </w:r>
          </w:p>
        </w:tc>
        <w:tc>
          <w:tcPr>
            <w:tcW w:w="1200" w:type="dxa"/>
            <w:tcBorders>
              <w:top w:val="nil"/>
              <w:bottom w:val="double" w:sz="4" w:space="0" w:color="auto"/>
              <w:right w:val="single" w:sz="24" w:space="0" w:color="000000"/>
            </w:tcBorders>
            <w:vAlign w:val="center"/>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371.95</w:t>
            </w:r>
          </w:p>
        </w:tc>
        <w:tc>
          <w:tcPr>
            <w:tcW w:w="1308" w:type="dxa"/>
            <w:tcBorders>
              <w:top w:val="nil"/>
              <w:left w:val="nil"/>
              <w:bottom w:val="double" w:sz="4" w:space="0" w:color="auto"/>
            </w:tcBorders>
            <w:vAlign w:val="center"/>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30,169</w:t>
            </w:r>
          </w:p>
        </w:tc>
        <w:tc>
          <w:tcPr>
            <w:tcW w:w="1075" w:type="dxa"/>
            <w:tcBorders>
              <w:top w:val="nil"/>
              <w:bottom w:val="double" w:sz="4" w:space="0" w:color="auto"/>
            </w:tcBorders>
            <w:vAlign w:val="center"/>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127,673</w:t>
            </w:r>
          </w:p>
        </w:tc>
        <w:tc>
          <w:tcPr>
            <w:tcW w:w="1343" w:type="dxa"/>
            <w:tcBorders>
              <w:top w:val="nil"/>
              <w:bottom w:val="double" w:sz="4" w:space="0" w:color="auto"/>
            </w:tcBorders>
            <w:vAlign w:val="center"/>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w:t>
            </w:r>
            <w:r>
              <w:rPr>
                <w:snapToGrid w:val="0"/>
                <w:color w:val="000000"/>
                <w:sz w:val="22"/>
              </w:rPr>
              <w:t>6,589</w:t>
            </w:r>
          </w:p>
        </w:tc>
        <w:tc>
          <w:tcPr>
            <w:tcW w:w="1075" w:type="dxa"/>
            <w:tcBorders>
              <w:top w:val="nil"/>
              <w:bottom w:val="double" w:sz="4" w:space="0" w:color="auto"/>
            </w:tcBorders>
            <w:vAlign w:val="center"/>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70,407</w:t>
            </w:r>
          </w:p>
        </w:tc>
        <w:tc>
          <w:tcPr>
            <w:tcW w:w="1238" w:type="dxa"/>
            <w:tcBorders>
              <w:top w:val="nil"/>
              <w:bottom w:val="double" w:sz="4" w:space="0" w:color="auto"/>
              <w:right w:val="double" w:sz="4" w:space="0" w:color="auto"/>
            </w:tcBorders>
            <w:vAlign w:val="center"/>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135,851</w:t>
            </w:r>
          </w:p>
        </w:tc>
      </w:tr>
    </w:tbl>
    <w:p w:rsidR="00000000" w:rsidRDefault="00C40079">
      <w:pPr>
        <w:tabs>
          <w:tab w:val="left" w:pos="720"/>
          <w:tab w:val="left" w:pos="1080"/>
          <w:tab w:val="left" w:pos="1440"/>
          <w:tab w:val="left" w:pos="1800"/>
          <w:tab w:val="left" w:pos="2160"/>
        </w:tabs>
        <w:rPr>
          <w:sz w:val="24"/>
        </w:rPr>
      </w:pPr>
    </w:p>
    <w:p w:rsidR="00000000" w:rsidRDefault="00C40079">
      <w:pPr>
        <w:pStyle w:val="Heading3"/>
        <w:tabs>
          <w:tab w:val="left" w:pos="720"/>
          <w:tab w:val="left" w:pos="1080"/>
          <w:tab w:val="left" w:pos="1440"/>
          <w:tab w:val="left" w:pos="1800"/>
          <w:tab w:val="left" w:pos="2160"/>
        </w:tabs>
      </w:pPr>
      <w:r>
        <w:br w:type="page"/>
      </w:r>
      <w:r>
        <w:lastRenderedPageBreak/>
        <w:t>Table XIX (cont.) – 2002 Statewide Emission Inventory by County and Source Sector</w:t>
      </w:r>
    </w:p>
    <w:p w:rsidR="00000000" w:rsidRDefault="00C40079">
      <w:pPr>
        <w:pStyle w:val="Level2"/>
        <w:widowControl/>
        <w:tabs>
          <w:tab w:val="left" w:pos="720"/>
          <w:tab w:val="left" w:pos="1080"/>
          <w:tab w:val="left" w:pos="1440"/>
          <w:tab w:val="left" w:pos="1800"/>
          <w:tab w:val="left" w:pos="2160"/>
        </w:tabs>
      </w:pPr>
    </w:p>
    <w:tbl>
      <w:tblPr>
        <w:tblW w:w="0" w:type="auto"/>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AF" w:firstRow="1" w:lastRow="0" w:firstColumn="1" w:lastColumn="0" w:noHBand="0" w:noVBand="0"/>
      </w:tblPr>
      <w:tblGrid>
        <w:gridCol w:w="1548"/>
        <w:gridCol w:w="1057"/>
        <w:gridCol w:w="1075"/>
        <w:gridCol w:w="1254"/>
        <w:gridCol w:w="1165"/>
        <w:gridCol w:w="1245"/>
        <w:gridCol w:w="9"/>
        <w:gridCol w:w="1254"/>
        <w:gridCol w:w="1075"/>
        <w:gridCol w:w="1343"/>
        <w:gridCol w:w="1075"/>
        <w:gridCol w:w="1058"/>
        <w:gridCol w:w="17"/>
      </w:tblGrid>
      <w:tr w:rsidR="00000000">
        <w:tblPrEx>
          <w:tblCellMar>
            <w:top w:w="0" w:type="dxa"/>
            <w:bottom w:w="0" w:type="dxa"/>
          </w:tblCellMar>
        </w:tblPrEx>
        <w:trPr>
          <w:gridAfter w:val="1"/>
          <w:wAfter w:w="17" w:type="dxa"/>
          <w:cantSplit/>
          <w:jc w:val="center"/>
        </w:trPr>
        <w:tc>
          <w:tcPr>
            <w:tcW w:w="1548" w:type="dxa"/>
            <w:vMerge w:val="restart"/>
            <w:tcBorders>
              <w:top w:val="double" w:sz="4" w:space="0" w:color="auto"/>
              <w:left w:val="double" w:sz="4" w:space="0" w:color="auto"/>
              <w:bottom w:val="nil"/>
              <w:right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p>
          <w:p w:rsidR="00000000" w:rsidRDefault="00C40079">
            <w:pPr>
              <w:tabs>
                <w:tab w:val="left" w:pos="360"/>
                <w:tab w:val="left" w:pos="720"/>
                <w:tab w:val="left" w:pos="1080"/>
                <w:tab w:val="left" w:pos="1440"/>
                <w:tab w:val="left" w:pos="1800"/>
                <w:tab w:val="left" w:pos="2160"/>
              </w:tabs>
              <w:jc w:val="center"/>
              <w:rPr>
                <w:b/>
                <w:sz w:val="22"/>
              </w:rPr>
            </w:pPr>
          </w:p>
          <w:p w:rsidR="00000000" w:rsidRDefault="00C40079">
            <w:pPr>
              <w:tabs>
                <w:tab w:val="left" w:pos="360"/>
                <w:tab w:val="left" w:pos="720"/>
                <w:tab w:val="left" w:pos="1080"/>
                <w:tab w:val="left" w:pos="1440"/>
                <w:tab w:val="left" w:pos="1800"/>
                <w:tab w:val="left" w:pos="2160"/>
              </w:tabs>
              <w:jc w:val="center"/>
              <w:rPr>
                <w:b/>
                <w:sz w:val="22"/>
              </w:rPr>
            </w:pPr>
          </w:p>
          <w:p w:rsidR="00000000" w:rsidRDefault="00C40079">
            <w:pPr>
              <w:tabs>
                <w:tab w:val="left" w:pos="360"/>
                <w:tab w:val="left" w:pos="720"/>
                <w:tab w:val="left" w:pos="1080"/>
                <w:tab w:val="left" w:pos="1440"/>
                <w:tab w:val="left" w:pos="1800"/>
                <w:tab w:val="left" w:pos="2160"/>
              </w:tabs>
              <w:jc w:val="center"/>
              <w:rPr>
                <w:b/>
                <w:sz w:val="22"/>
              </w:rPr>
            </w:pPr>
            <w:r>
              <w:rPr>
                <w:b/>
                <w:sz w:val="22"/>
              </w:rPr>
              <w:t>County</w:t>
            </w:r>
          </w:p>
        </w:tc>
        <w:tc>
          <w:tcPr>
            <w:tcW w:w="5796" w:type="dxa"/>
            <w:gridSpan w:val="5"/>
            <w:tcBorders>
              <w:top w:val="double" w:sz="4" w:space="0" w:color="auto"/>
              <w:left w:val="nil"/>
              <w:bottom w:val="nil"/>
              <w:right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NO</w:t>
            </w:r>
            <w:r>
              <w:rPr>
                <w:b/>
                <w:sz w:val="22"/>
                <w:vertAlign w:val="subscript"/>
              </w:rPr>
              <w:t>x</w:t>
            </w:r>
          </w:p>
          <w:p w:rsidR="00000000" w:rsidRDefault="00C40079">
            <w:pPr>
              <w:tabs>
                <w:tab w:val="left" w:pos="360"/>
                <w:tab w:val="left" w:pos="720"/>
                <w:tab w:val="left" w:pos="1080"/>
                <w:tab w:val="left" w:pos="1440"/>
                <w:tab w:val="left" w:pos="1800"/>
                <w:tab w:val="left" w:pos="2160"/>
              </w:tabs>
              <w:jc w:val="center"/>
              <w:rPr>
                <w:b/>
                <w:sz w:val="22"/>
              </w:rPr>
            </w:pPr>
            <w:r>
              <w:rPr>
                <w:b/>
                <w:sz w:val="22"/>
              </w:rPr>
              <w:t>Tons per Summer Day</w:t>
            </w:r>
          </w:p>
        </w:tc>
        <w:tc>
          <w:tcPr>
            <w:tcW w:w="5814" w:type="dxa"/>
            <w:gridSpan w:val="6"/>
            <w:tcBorders>
              <w:top w:val="double" w:sz="4" w:space="0" w:color="auto"/>
              <w:left w:val="nil"/>
              <w:bottom w:val="nil"/>
              <w:right w:val="double" w:sz="4" w:space="0" w:color="auto"/>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NO</w:t>
            </w:r>
            <w:r>
              <w:rPr>
                <w:b/>
                <w:sz w:val="22"/>
                <w:vertAlign w:val="subscript"/>
              </w:rPr>
              <w:t>x</w:t>
            </w:r>
          </w:p>
          <w:p w:rsidR="00000000" w:rsidRDefault="00C40079">
            <w:pPr>
              <w:tabs>
                <w:tab w:val="left" w:pos="360"/>
                <w:tab w:val="left" w:pos="720"/>
                <w:tab w:val="left" w:pos="1080"/>
                <w:tab w:val="left" w:pos="1440"/>
                <w:tab w:val="left" w:pos="1800"/>
                <w:tab w:val="left" w:pos="2160"/>
              </w:tabs>
              <w:jc w:val="center"/>
              <w:rPr>
                <w:b/>
                <w:sz w:val="22"/>
              </w:rPr>
            </w:pPr>
            <w:r>
              <w:rPr>
                <w:b/>
                <w:sz w:val="22"/>
              </w:rPr>
              <w:t>Tons per Year</w:t>
            </w:r>
          </w:p>
        </w:tc>
      </w:tr>
      <w:tr w:rsidR="00000000">
        <w:tblPrEx>
          <w:tblCellMar>
            <w:top w:w="0" w:type="dxa"/>
            <w:bottom w:w="0" w:type="dxa"/>
          </w:tblCellMar>
        </w:tblPrEx>
        <w:trPr>
          <w:cantSplit/>
          <w:jc w:val="center"/>
        </w:trPr>
        <w:tc>
          <w:tcPr>
            <w:tcW w:w="1548" w:type="dxa"/>
            <w:vMerge/>
            <w:tcBorders>
              <w:top w:val="nil"/>
              <w:left w:val="double" w:sz="4" w:space="0" w:color="auto"/>
              <w:bottom w:val="single" w:sz="24" w:space="0" w:color="000000"/>
              <w:right w:val="single" w:sz="24" w:space="0" w:color="000000"/>
            </w:tcBorders>
          </w:tcPr>
          <w:p w:rsidR="00000000" w:rsidRDefault="00C40079">
            <w:pPr>
              <w:tabs>
                <w:tab w:val="left" w:pos="360"/>
                <w:tab w:val="left" w:pos="720"/>
                <w:tab w:val="left" w:pos="1080"/>
                <w:tab w:val="left" w:pos="1440"/>
                <w:tab w:val="left" w:pos="1800"/>
                <w:tab w:val="left" w:pos="2160"/>
              </w:tabs>
              <w:jc w:val="center"/>
              <w:rPr>
                <w:sz w:val="22"/>
              </w:rPr>
            </w:pPr>
          </w:p>
        </w:tc>
        <w:tc>
          <w:tcPr>
            <w:tcW w:w="1057" w:type="dxa"/>
            <w:tcBorders>
              <w:top w:val="single" w:sz="12" w:space="0" w:color="000000"/>
              <w:left w:val="nil"/>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Point Sources</w:t>
            </w:r>
          </w:p>
        </w:tc>
        <w:tc>
          <w:tcPr>
            <w:tcW w:w="1075" w:type="dxa"/>
            <w:tcBorders>
              <w:top w:val="single" w:sz="12" w:space="0" w:color="000000"/>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Area Sources</w:t>
            </w:r>
          </w:p>
        </w:tc>
        <w:tc>
          <w:tcPr>
            <w:tcW w:w="1254" w:type="dxa"/>
            <w:tcBorders>
              <w:top w:val="single" w:sz="12" w:space="0" w:color="000000"/>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Onroad Sources</w:t>
            </w:r>
          </w:p>
        </w:tc>
        <w:tc>
          <w:tcPr>
            <w:tcW w:w="1165" w:type="dxa"/>
            <w:tcBorders>
              <w:top w:val="single" w:sz="12" w:space="0" w:color="000000"/>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Nonroad Sources</w:t>
            </w:r>
          </w:p>
        </w:tc>
        <w:tc>
          <w:tcPr>
            <w:tcW w:w="1254" w:type="dxa"/>
            <w:gridSpan w:val="2"/>
            <w:tcBorders>
              <w:top w:val="single" w:sz="12" w:space="0" w:color="000000"/>
              <w:bottom w:val="single" w:sz="24" w:space="0" w:color="000000"/>
              <w:right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Biogenic</w:t>
            </w:r>
          </w:p>
        </w:tc>
        <w:tc>
          <w:tcPr>
            <w:tcW w:w="1254" w:type="dxa"/>
            <w:tcBorders>
              <w:top w:val="single" w:sz="12" w:space="0" w:color="000000"/>
              <w:left w:val="nil"/>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Point Sources</w:t>
            </w:r>
          </w:p>
        </w:tc>
        <w:tc>
          <w:tcPr>
            <w:tcW w:w="1075" w:type="dxa"/>
            <w:tcBorders>
              <w:top w:val="single" w:sz="12" w:space="0" w:color="000000"/>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Area Sources</w:t>
            </w:r>
          </w:p>
        </w:tc>
        <w:tc>
          <w:tcPr>
            <w:tcW w:w="1343" w:type="dxa"/>
            <w:tcBorders>
              <w:top w:val="single" w:sz="12" w:space="0" w:color="000000"/>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O</w:t>
            </w:r>
            <w:r>
              <w:rPr>
                <w:b/>
                <w:sz w:val="22"/>
              </w:rPr>
              <w:t>nroad Sources</w:t>
            </w:r>
          </w:p>
        </w:tc>
        <w:tc>
          <w:tcPr>
            <w:tcW w:w="1075" w:type="dxa"/>
            <w:tcBorders>
              <w:top w:val="single" w:sz="12" w:space="0" w:color="000000"/>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Nonroad Sources</w:t>
            </w:r>
          </w:p>
        </w:tc>
        <w:tc>
          <w:tcPr>
            <w:tcW w:w="1075" w:type="dxa"/>
            <w:gridSpan w:val="2"/>
            <w:tcBorders>
              <w:top w:val="single" w:sz="12" w:space="0" w:color="000000"/>
              <w:bottom w:val="single" w:sz="24" w:space="0" w:color="000000"/>
              <w:right w:val="double" w:sz="4" w:space="0" w:color="auto"/>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Biogenic</w:t>
            </w:r>
          </w:p>
        </w:tc>
      </w:tr>
      <w:tr w:rsidR="00000000">
        <w:tblPrEx>
          <w:tblCellMar>
            <w:top w:w="0" w:type="dxa"/>
            <w:bottom w:w="0" w:type="dxa"/>
          </w:tblCellMar>
        </w:tblPrEx>
        <w:trPr>
          <w:cantSplit/>
          <w:jc w:val="center"/>
        </w:trPr>
        <w:tc>
          <w:tcPr>
            <w:tcW w:w="1548" w:type="dxa"/>
            <w:tcBorders>
              <w:top w:val="nil"/>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 xml:space="preserve">Atlantic </w:t>
            </w:r>
          </w:p>
        </w:tc>
        <w:tc>
          <w:tcPr>
            <w:tcW w:w="1057" w:type="dxa"/>
            <w:tcBorders>
              <w:top w:val="nil"/>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1.67</w:t>
            </w:r>
          </w:p>
        </w:tc>
        <w:tc>
          <w:tcPr>
            <w:tcW w:w="1075" w:type="dxa"/>
            <w:tcBorders>
              <w:top w:val="nil"/>
            </w:tcBorders>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1.17</w:t>
            </w:r>
          </w:p>
        </w:tc>
        <w:tc>
          <w:tcPr>
            <w:tcW w:w="1254" w:type="dxa"/>
            <w:tcBorders>
              <w:top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24.50</w:t>
            </w:r>
          </w:p>
        </w:tc>
        <w:tc>
          <w:tcPr>
            <w:tcW w:w="1165" w:type="dxa"/>
            <w:tcBorders>
              <w:top w:val="nil"/>
            </w:tcBorders>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6.26</w:t>
            </w:r>
          </w:p>
        </w:tc>
        <w:tc>
          <w:tcPr>
            <w:tcW w:w="1254" w:type="dxa"/>
            <w:gridSpan w:val="2"/>
            <w:tcBorders>
              <w:top w:val="nil"/>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0.21</w:t>
            </w:r>
          </w:p>
        </w:tc>
        <w:tc>
          <w:tcPr>
            <w:tcW w:w="1254" w:type="dxa"/>
            <w:tcBorders>
              <w:top w:val="nil"/>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129</w:t>
            </w:r>
          </w:p>
        </w:tc>
        <w:tc>
          <w:tcPr>
            <w:tcW w:w="1075" w:type="dxa"/>
            <w:tcBorders>
              <w:top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964</w:t>
            </w:r>
          </w:p>
        </w:tc>
        <w:tc>
          <w:tcPr>
            <w:tcW w:w="1343" w:type="dxa"/>
            <w:tcBorders>
              <w:top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6,764</w:t>
            </w:r>
          </w:p>
        </w:tc>
        <w:tc>
          <w:tcPr>
            <w:tcW w:w="1075" w:type="dxa"/>
            <w:tcBorders>
              <w:top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1,771</w:t>
            </w:r>
          </w:p>
        </w:tc>
        <w:tc>
          <w:tcPr>
            <w:tcW w:w="1075" w:type="dxa"/>
            <w:gridSpan w:val="2"/>
            <w:tcBorders>
              <w:top w:val="nil"/>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78</w:t>
            </w:r>
          </w:p>
        </w:tc>
      </w:tr>
      <w:tr w:rsidR="00000000">
        <w:tblPrEx>
          <w:tblCellMar>
            <w:top w:w="0" w:type="dxa"/>
            <w:bottom w:w="0" w:type="dxa"/>
          </w:tblCellMar>
        </w:tblPrEx>
        <w:trPr>
          <w:cantSplit/>
          <w:jc w:val="center"/>
        </w:trPr>
        <w:tc>
          <w:tcPr>
            <w:tcW w:w="1548"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 xml:space="preserve">Bergen </w:t>
            </w:r>
          </w:p>
        </w:tc>
        <w:tc>
          <w:tcPr>
            <w:tcW w:w="1057"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3.64</w:t>
            </w:r>
          </w:p>
        </w:tc>
        <w:tc>
          <w:tcPr>
            <w:tcW w:w="107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3.83</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63.24</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23.38</w:t>
            </w:r>
          </w:p>
        </w:tc>
        <w:tc>
          <w:tcPr>
            <w:tcW w:w="1254" w:type="dxa"/>
            <w:gridSpan w:val="2"/>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0.07</w:t>
            </w:r>
          </w:p>
        </w:tc>
        <w:tc>
          <w:tcPr>
            <w:tcW w:w="1254"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988</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2,815</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23,917</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6,707</w:t>
            </w:r>
          </w:p>
        </w:tc>
        <w:tc>
          <w:tcPr>
            <w:tcW w:w="1075" w:type="dxa"/>
            <w:gridSpan w:val="2"/>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25</w:t>
            </w:r>
          </w:p>
        </w:tc>
      </w:tr>
      <w:tr w:rsidR="00000000">
        <w:tblPrEx>
          <w:tblCellMar>
            <w:top w:w="0" w:type="dxa"/>
            <w:bottom w:w="0" w:type="dxa"/>
          </w:tblCellMar>
        </w:tblPrEx>
        <w:trPr>
          <w:cantSplit/>
          <w:jc w:val="center"/>
        </w:trPr>
        <w:tc>
          <w:tcPr>
            <w:tcW w:w="1548"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 xml:space="preserve">Burlington </w:t>
            </w:r>
          </w:p>
        </w:tc>
        <w:tc>
          <w:tcPr>
            <w:tcW w:w="1057"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12.35</w:t>
            </w:r>
          </w:p>
        </w:tc>
        <w:tc>
          <w:tcPr>
            <w:tcW w:w="107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1.77</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31.10</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12.88</w:t>
            </w:r>
          </w:p>
        </w:tc>
        <w:tc>
          <w:tcPr>
            <w:tcW w:w="1254" w:type="dxa"/>
            <w:gridSpan w:val="2"/>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0.26</w:t>
            </w:r>
          </w:p>
        </w:tc>
        <w:tc>
          <w:tcPr>
            <w:tcW w:w="1254"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1,273</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1,424</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11,644</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3,776</w:t>
            </w:r>
          </w:p>
        </w:tc>
        <w:tc>
          <w:tcPr>
            <w:tcW w:w="1075" w:type="dxa"/>
            <w:gridSpan w:val="2"/>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97</w:t>
            </w:r>
          </w:p>
        </w:tc>
      </w:tr>
      <w:tr w:rsidR="00000000">
        <w:tblPrEx>
          <w:tblCellMar>
            <w:top w:w="0" w:type="dxa"/>
            <w:bottom w:w="0" w:type="dxa"/>
          </w:tblCellMar>
        </w:tblPrEx>
        <w:trPr>
          <w:cantSplit/>
          <w:jc w:val="center"/>
        </w:trPr>
        <w:tc>
          <w:tcPr>
            <w:tcW w:w="1548"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Camden</w:t>
            </w:r>
          </w:p>
        </w:tc>
        <w:tc>
          <w:tcPr>
            <w:tcW w:w="1057"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2.69</w:t>
            </w:r>
          </w:p>
        </w:tc>
        <w:tc>
          <w:tcPr>
            <w:tcW w:w="107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2.10</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27.00</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9.</w:t>
            </w:r>
            <w:r>
              <w:rPr>
                <w:snapToGrid w:val="0"/>
                <w:color w:val="000000"/>
                <w:sz w:val="22"/>
              </w:rPr>
              <w:t>44</w:t>
            </w:r>
          </w:p>
        </w:tc>
        <w:tc>
          <w:tcPr>
            <w:tcW w:w="1254" w:type="dxa"/>
            <w:gridSpan w:val="2"/>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0.21</w:t>
            </w:r>
          </w:p>
        </w:tc>
        <w:tc>
          <w:tcPr>
            <w:tcW w:w="1254"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776</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1,523</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10,074</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2,669</w:t>
            </w:r>
          </w:p>
        </w:tc>
        <w:tc>
          <w:tcPr>
            <w:tcW w:w="1075" w:type="dxa"/>
            <w:gridSpan w:val="2"/>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77</w:t>
            </w:r>
          </w:p>
        </w:tc>
      </w:tr>
      <w:tr w:rsidR="00000000">
        <w:tblPrEx>
          <w:tblCellMar>
            <w:top w:w="0" w:type="dxa"/>
            <w:bottom w:w="0" w:type="dxa"/>
          </w:tblCellMar>
        </w:tblPrEx>
        <w:trPr>
          <w:cantSplit/>
          <w:jc w:val="center"/>
        </w:trPr>
        <w:tc>
          <w:tcPr>
            <w:tcW w:w="1548"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Cape May</w:t>
            </w:r>
          </w:p>
        </w:tc>
        <w:tc>
          <w:tcPr>
            <w:tcW w:w="1057"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19.15</w:t>
            </w:r>
          </w:p>
        </w:tc>
        <w:tc>
          <w:tcPr>
            <w:tcW w:w="107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0.42</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8.82</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5.92</w:t>
            </w:r>
          </w:p>
        </w:tc>
        <w:tc>
          <w:tcPr>
            <w:tcW w:w="1254" w:type="dxa"/>
            <w:gridSpan w:val="2"/>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0.19</w:t>
            </w:r>
          </w:p>
        </w:tc>
        <w:tc>
          <w:tcPr>
            <w:tcW w:w="1254"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3,819</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357</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2,433</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1,959</w:t>
            </w:r>
          </w:p>
        </w:tc>
        <w:tc>
          <w:tcPr>
            <w:tcW w:w="1075" w:type="dxa"/>
            <w:gridSpan w:val="2"/>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68</w:t>
            </w:r>
          </w:p>
        </w:tc>
      </w:tr>
      <w:tr w:rsidR="00000000">
        <w:tblPrEx>
          <w:tblCellMar>
            <w:top w:w="0" w:type="dxa"/>
            <w:bottom w:w="0" w:type="dxa"/>
          </w:tblCellMar>
        </w:tblPrEx>
        <w:trPr>
          <w:cantSplit/>
          <w:jc w:val="center"/>
        </w:trPr>
        <w:tc>
          <w:tcPr>
            <w:tcW w:w="1548"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Cumberland</w:t>
            </w:r>
          </w:p>
        </w:tc>
        <w:tc>
          <w:tcPr>
            <w:tcW w:w="1057"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10.50</w:t>
            </w:r>
          </w:p>
        </w:tc>
        <w:tc>
          <w:tcPr>
            <w:tcW w:w="107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0.65</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10.61</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7.94</w:t>
            </w:r>
          </w:p>
        </w:tc>
        <w:tc>
          <w:tcPr>
            <w:tcW w:w="1254" w:type="dxa"/>
            <w:gridSpan w:val="2"/>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0.34</w:t>
            </w:r>
          </w:p>
        </w:tc>
        <w:tc>
          <w:tcPr>
            <w:tcW w:w="1254"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1,778</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469</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2,883</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2,574</w:t>
            </w:r>
          </w:p>
        </w:tc>
        <w:tc>
          <w:tcPr>
            <w:tcW w:w="1075" w:type="dxa"/>
            <w:gridSpan w:val="2"/>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125</w:t>
            </w:r>
          </w:p>
        </w:tc>
      </w:tr>
      <w:tr w:rsidR="00000000">
        <w:tblPrEx>
          <w:tblCellMar>
            <w:top w:w="0" w:type="dxa"/>
            <w:bottom w:w="0" w:type="dxa"/>
          </w:tblCellMar>
        </w:tblPrEx>
        <w:trPr>
          <w:cantSplit/>
          <w:jc w:val="center"/>
        </w:trPr>
        <w:tc>
          <w:tcPr>
            <w:tcW w:w="1548"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Essex</w:t>
            </w:r>
          </w:p>
        </w:tc>
        <w:tc>
          <w:tcPr>
            <w:tcW w:w="1057"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16.18</w:t>
            </w:r>
          </w:p>
        </w:tc>
        <w:tc>
          <w:tcPr>
            <w:tcW w:w="107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3.31</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44.06</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25.70</w:t>
            </w:r>
          </w:p>
        </w:tc>
        <w:tc>
          <w:tcPr>
            <w:tcW w:w="1254" w:type="dxa"/>
            <w:gridSpan w:val="2"/>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0.07</w:t>
            </w:r>
          </w:p>
        </w:tc>
        <w:tc>
          <w:tcPr>
            <w:tcW w:w="1254"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2,441</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2,436</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16,537</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8,137</w:t>
            </w:r>
          </w:p>
        </w:tc>
        <w:tc>
          <w:tcPr>
            <w:tcW w:w="1075" w:type="dxa"/>
            <w:gridSpan w:val="2"/>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27</w:t>
            </w:r>
          </w:p>
        </w:tc>
      </w:tr>
      <w:tr w:rsidR="00000000">
        <w:tblPrEx>
          <w:tblCellMar>
            <w:top w:w="0" w:type="dxa"/>
            <w:bottom w:w="0" w:type="dxa"/>
          </w:tblCellMar>
        </w:tblPrEx>
        <w:trPr>
          <w:cantSplit/>
          <w:jc w:val="center"/>
        </w:trPr>
        <w:tc>
          <w:tcPr>
            <w:tcW w:w="1548"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Gloucester</w:t>
            </w:r>
          </w:p>
        </w:tc>
        <w:tc>
          <w:tcPr>
            <w:tcW w:w="1057"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14.48</w:t>
            </w:r>
          </w:p>
        </w:tc>
        <w:tc>
          <w:tcPr>
            <w:tcW w:w="107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1.01</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18.50</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8.01</w:t>
            </w:r>
          </w:p>
        </w:tc>
        <w:tc>
          <w:tcPr>
            <w:tcW w:w="1254" w:type="dxa"/>
            <w:gridSpan w:val="2"/>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0.19</w:t>
            </w:r>
          </w:p>
        </w:tc>
        <w:tc>
          <w:tcPr>
            <w:tcW w:w="1254"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4,645</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800</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6,899</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2,200</w:t>
            </w:r>
          </w:p>
        </w:tc>
        <w:tc>
          <w:tcPr>
            <w:tcW w:w="1075" w:type="dxa"/>
            <w:gridSpan w:val="2"/>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71</w:t>
            </w:r>
          </w:p>
        </w:tc>
      </w:tr>
      <w:tr w:rsidR="00000000">
        <w:tblPrEx>
          <w:tblCellMar>
            <w:top w:w="0" w:type="dxa"/>
            <w:bottom w:w="0" w:type="dxa"/>
          </w:tblCellMar>
        </w:tblPrEx>
        <w:trPr>
          <w:cantSplit/>
          <w:jc w:val="center"/>
        </w:trPr>
        <w:tc>
          <w:tcPr>
            <w:tcW w:w="1548"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Hudson</w:t>
            </w:r>
          </w:p>
        </w:tc>
        <w:tc>
          <w:tcPr>
            <w:tcW w:w="1057"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51.61</w:t>
            </w:r>
          </w:p>
        </w:tc>
        <w:tc>
          <w:tcPr>
            <w:tcW w:w="107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2.24</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21.05</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20.71</w:t>
            </w:r>
          </w:p>
        </w:tc>
        <w:tc>
          <w:tcPr>
            <w:tcW w:w="1254" w:type="dxa"/>
            <w:gridSpan w:val="2"/>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0.07</w:t>
            </w:r>
          </w:p>
        </w:tc>
        <w:tc>
          <w:tcPr>
            <w:tcW w:w="1254"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9,776</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1,735</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7,853</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5,976</w:t>
            </w:r>
          </w:p>
        </w:tc>
        <w:tc>
          <w:tcPr>
            <w:tcW w:w="1075" w:type="dxa"/>
            <w:gridSpan w:val="2"/>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27</w:t>
            </w:r>
          </w:p>
        </w:tc>
      </w:tr>
      <w:tr w:rsidR="00000000">
        <w:tblPrEx>
          <w:tblCellMar>
            <w:top w:w="0" w:type="dxa"/>
            <w:bottom w:w="0" w:type="dxa"/>
          </w:tblCellMar>
        </w:tblPrEx>
        <w:trPr>
          <w:cantSplit/>
          <w:jc w:val="center"/>
        </w:trPr>
        <w:tc>
          <w:tcPr>
            <w:tcW w:w="1548"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Hunterdon</w:t>
            </w:r>
          </w:p>
        </w:tc>
        <w:tc>
          <w:tcPr>
            <w:tcW w:w="1057"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9.47</w:t>
            </w:r>
          </w:p>
        </w:tc>
        <w:tc>
          <w:tcPr>
            <w:tcW w:w="107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0.54</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17.17</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4.70</w:t>
            </w:r>
          </w:p>
        </w:tc>
        <w:tc>
          <w:tcPr>
            <w:tcW w:w="1254" w:type="dxa"/>
            <w:gridSpan w:val="2"/>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0.19</w:t>
            </w:r>
          </w:p>
        </w:tc>
        <w:tc>
          <w:tcPr>
            <w:tcW w:w="1254"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491</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424</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6,444</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1,223</w:t>
            </w:r>
          </w:p>
        </w:tc>
        <w:tc>
          <w:tcPr>
            <w:tcW w:w="1075" w:type="dxa"/>
            <w:gridSpan w:val="2"/>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69</w:t>
            </w:r>
          </w:p>
        </w:tc>
      </w:tr>
      <w:tr w:rsidR="00000000">
        <w:tblPrEx>
          <w:tblCellMar>
            <w:top w:w="0" w:type="dxa"/>
            <w:bottom w:w="0" w:type="dxa"/>
          </w:tblCellMar>
        </w:tblPrEx>
        <w:trPr>
          <w:cantSplit/>
          <w:jc w:val="center"/>
        </w:trPr>
        <w:tc>
          <w:tcPr>
            <w:tcW w:w="1548"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Mercer</w:t>
            </w:r>
          </w:p>
        </w:tc>
        <w:tc>
          <w:tcPr>
            <w:tcW w:w="1057"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47.87</w:t>
            </w:r>
          </w:p>
        </w:tc>
        <w:tc>
          <w:tcPr>
            <w:tcW w:w="107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1.72</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22.70</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9.32</w:t>
            </w:r>
          </w:p>
        </w:tc>
        <w:tc>
          <w:tcPr>
            <w:tcW w:w="1254" w:type="dxa"/>
            <w:gridSpan w:val="2"/>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0.20</w:t>
            </w:r>
          </w:p>
        </w:tc>
        <w:tc>
          <w:tcPr>
            <w:tcW w:w="1254"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13,034</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1,257</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8,505</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2,427</w:t>
            </w:r>
          </w:p>
        </w:tc>
        <w:tc>
          <w:tcPr>
            <w:tcW w:w="1075" w:type="dxa"/>
            <w:gridSpan w:val="2"/>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72</w:t>
            </w:r>
          </w:p>
        </w:tc>
      </w:tr>
      <w:tr w:rsidR="00000000">
        <w:tblPrEx>
          <w:tblCellMar>
            <w:top w:w="0" w:type="dxa"/>
            <w:bottom w:w="0" w:type="dxa"/>
          </w:tblCellMar>
        </w:tblPrEx>
        <w:trPr>
          <w:cantSplit/>
          <w:jc w:val="center"/>
        </w:trPr>
        <w:tc>
          <w:tcPr>
            <w:tcW w:w="1548"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Middlesex</w:t>
            </w:r>
          </w:p>
        </w:tc>
        <w:tc>
          <w:tcPr>
            <w:tcW w:w="1057"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44.47</w:t>
            </w:r>
          </w:p>
        </w:tc>
        <w:tc>
          <w:tcPr>
            <w:tcW w:w="107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3.33</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58.00</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17.54</w:t>
            </w:r>
          </w:p>
        </w:tc>
        <w:tc>
          <w:tcPr>
            <w:tcW w:w="1254" w:type="dxa"/>
            <w:gridSpan w:val="2"/>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0.16</w:t>
            </w:r>
          </w:p>
        </w:tc>
        <w:tc>
          <w:tcPr>
            <w:tcW w:w="1254"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3,651</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2,343</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22,147</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4,849</w:t>
            </w:r>
          </w:p>
        </w:tc>
        <w:tc>
          <w:tcPr>
            <w:tcW w:w="1075" w:type="dxa"/>
            <w:gridSpan w:val="2"/>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58</w:t>
            </w:r>
          </w:p>
        </w:tc>
      </w:tr>
      <w:tr w:rsidR="00000000">
        <w:tblPrEx>
          <w:tblCellMar>
            <w:top w:w="0" w:type="dxa"/>
            <w:bottom w:w="0" w:type="dxa"/>
          </w:tblCellMar>
        </w:tblPrEx>
        <w:trPr>
          <w:cantSplit/>
          <w:jc w:val="center"/>
        </w:trPr>
        <w:tc>
          <w:tcPr>
            <w:tcW w:w="1548"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Monmouth</w:t>
            </w:r>
          </w:p>
        </w:tc>
        <w:tc>
          <w:tcPr>
            <w:tcW w:w="1057"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0.86</w:t>
            </w:r>
          </w:p>
        </w:tc>
        <w:tc>
          <w:tcPr>
            <w:tcW w:w="107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2.23</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38.15</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15.74</w:t>
            </w:r>
          </w:p>
        </w:tc>
        <w:tc>
          <w:tcPr>
            <w:tcW w:w="1254" w:type="dxa"/>
            <w:gridSpan w:val="2"/>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0.22</w:t>
            </w:r>
          </w:p>
        </w:tc>
        <w:tc>
          <w:tcPr>
            <w:tcW w:w="1254"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240</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1,806</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14,860</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4,316</w:t>
            </w:r>
          </w:p>
        </w:tc>
        <w:tc>
          <w:tcPr>
            <w:tcW w:w="1075" w:type="dxa"/>
            <w:gridSpan w:val="2"/>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79</w:t>
            </w:r>
          </w:p>
        </w:tc>
      </w:tr>
      <w:tr w:rsidR="00000000">
        <w:tblPrEx>
          <w:tblCellMar>
            <w:top w:w="0" w:type="dxa"/>
            <w:bottom w:w="0" w:type="dxa"/>
          </w:tblCellMar>
        </w:tblPrEx>
        <w:trPr>
          <w:cantSplit/>
          <w:jc w:val="center"/>
        </w:trPr>
        <w:tc>
          <w:tcPr>
            <w:tcW w:w="1548"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Morris</w:t>
            </w:r>
          </w:p>
        </w:tc>
        <w:tc>
          <w:tcPr>
            <w:tcW w:w="1057"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1.18</w:t>
            </w:r>
          </w:p>
        </w:tc>
        <w:tc>
          <w:tcPr>
            <w:tcW w:w="107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2.40</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35.06</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11.58</w:t>
            </w:r>
          </w:p>
        </w:tc>
        <w:tc>
          <w:tcPr>
            <w:tcW w:w="1254" w:type="dxa"/>
            <w:gridSpan w:val="2"/>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0.12</w:t>
            </w:r>
          </w:p>
        </w:tc>
        <w:tc>
          <w:tcPr>
            <w:tcW w:w="1254"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284</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1,752</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13,748</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3,151</w:t>
            </w:r>
          </w:p>
        </w:tc>
        <w:tc>
          <w:tcPr>
            <w:tcW w:w="1075" w:type="dxa"/>
            <w:gridSpan w:val="2"/>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43</w:t>
            </w:r>
          </w:p>
        </w:tc>
      </w:tr>
      <w:tr w:rsidR="00000000">
        <w:tblPrEx>
          <w:tblCellMar>
            <w:top w:w="0" w:type="dxa"/>
            <w:bottom w:w="0" w:type="dxa"/>
          </w:tblCellMar>
        </w:tblPrEx>
        <w:trPr>
          <w:cantSplit/>
          <w:jc w:val="center"/>
        </w:trPr>
        <w:tc>
          <w:tcPr>
            <w:tcW w:w="1548"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Ocean</w:t>
            </w:r>
          </w:p>
        </w:tc>
        <w:tc>
          <w:tcPr>
            <w:tcW w:w="1057"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3.68</w:t>
            </w:r>
          </w:p>
        </w:tc>
        <w:tc>
          <w:tcPr>
            <w:tcW w:w="107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2.39</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24.65</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7.57</w:t>
            </w:r>
          </w:p>
        </w:tc>
        <w:tc>
          <w:tcPr>
            <w:tcW w:w="1254" w:type="dxa"/>
            <w:gridSpan w:val="2"/>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0.27</w:t>
            </w:r>
          </w:p>
        </w:tc>
        <w:tc>
          <w:tcPr>
            <w:tcW w:w="1254"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395</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1,507</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9,538</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2,138</w:t>
            </w:r>
          </w:p>
        </w:tc>
        <w:tc>
          <w:tcPr>
            <w:tcW w:w="1075" w:type="dxa"/>
            <w:gridSpan w:val="2"/>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98</w:t>
            </w:r>
          </w:p>
        </w:tc>
      </w:tr>
      <w:tr w:rsidR="00000000">
        <w:tblPrEx>
          <w:tblCellMar>
            <w:top w:w="0" w:type="dxa"/>
            <w:bottom w:w="0" w:type="dxa"/>
          </w:tblCellMar>
        </w:tblPrEx>
        <w:trPr>
          <w:cantSplit/>
          <w:jc w:val="center"/>
        </w:trPr>
        <w:tc>
          <w:tcPr>
            <w:tcW w:w="1548"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Passaic</w:t>
            </w:r>
          </w:p>
        </w:tc>
        <w:tc>
          <w:tcPr>
            <w:tcW w:w="1057"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0.68</w:t>
            </w:r>
          </w:p>
        </w:tc>
        <w:tc>
          <w:tcPr>
            <w:tcW w:w="107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1.79</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23.01</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8.88</w:t>
            </w:r>
          </w:p>
        </w:tc>
        <w:tc>
          <w:tcPr>
            <w:tcW w:w="1254" w:type="dxa"/>
            <w:gridSpan w:val="2"/>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0.10</w:t>
            </w:r>
          </w:p>
        </w:tc>
        <w:tc>
          <w:tcPr>
            <w:tcW w:w="1254"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122</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1,361</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w:t>
            </w:r>
            <w:r>
              <w:rPr>
                <w:snapToGrid w:val="0"/>
                <w:color w:val="000000"/>
                <w:sz w:val="22"/>
              </w:rPr>
              <w:t>,748</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2,413</w:t>
            </w:r>
          </w:p>
        </w:tc>
        <w:tc>
          <w:tcPr>
            <w:tcW w:w="1075" w:type="dxa"/>
            <w:gridSpan w:val="2"/>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38</w:t>
            </w:r>
          </w:p>
        </w:tc>
      </w:tr>
      <w:tr w:rsidR="00000000">
        <w:tblPrEx>
          <w:tblCellMar>
            <w:top w:w="0" w:type="dxa"/>
            <w:bottom w:w="0" w:type="dxa"/>
          </w:tblCellMar>
        </w:tblPrEx>
        <w:trPr>
          <w:cantSplit/>
          <w:jc w:val="center"/>
        </w:trPr>
        <w:tc>
          <w:tcPr>
            <w:tcW w:w="1548"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Salem</w:t>
            </w:r>
          </w:p>
        </w:tc>
        <w:tc>
          <w:tcPr>
            <w:tcW w:w="1057"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15.26</w:t>
            </w:r>
          </w:p>
        </w:tc>
        <w:tc>
          <w:tcPr>
            <w:tcW w:w="107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0.31</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11.91</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3.21</w:t>
            </w:r>
          </w:p>
        </w:tc>
        <w:tc>
          <w:tcPr>
            <w:tcW w:w="1254" w:type="dxa"/>
            <w:gridSpan w:val="2"/>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0.32</w:t>
            </w:r>
          </w:p>
        </w:tc>
        <w:tc>
          <w:tcPr>
            <w:tcW w:w="1254"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3,267</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227</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3,185</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932</w:t>
            </w:r>
          </w:p>
        </w:tc>
        <w:tc>
          <w:tcPr>
            <w:tcW w:w="1075" w:type="dxa"/>
            <w:gridSpan w:val="2"/>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116</w:t>
            </w:r>
          </w:p>
        </w:tc>
      </w:tr>
      <w:tr w:rsidR="00000000">
        <w:tblPrEx>
          <w:tblCellMar>
            <w:top w:w="0" w:type="dxa"/>
            <w:bottom w:w="0" w:type="dxa"/>
          </w:tblCellMar>
        </w:tblPrEx>
        <w:trPr>
          <w:cantSplit/>
          <w:jc w:val="center"/>
        </w:trPr>
        <w:tc>
          <w:tcPr>
            <w:tcW w:w="1548"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Somerset</w:t>
            </w:r>
          </w:p>
        </w:tc>
        <w:tc>
          <w:tcPr>
            <w:tcW w:w="1057"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3.60</w:t>
            </w:r>
          </w:p>
        </w:tc>
        <w:tc>
          <w:tcPr>
            <w:tcW w:w="107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1.44</w:t>
            </w:r>
          </w:p>
        </w:tc>
        <w:tc>
          <w:tcPr>
            <w:tcW w:w="1254"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23.85</w:t>
            </w:r>
          </w:p>
        </w:tc>
        <w:tc>
          <w:tcPr>
            <w:tcW w:w="1165"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7.57</w:t>
            </w:r>
          </w:p>
        </w:tc>
        <w:tc>
          <w:tcPr>
            <w:tcW w:w="1254" w:type="dxa"/>
            <w:gridSpan w:val="2"/>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0.15</w:t>
            </w:r>
          </w:p>
        </w:tc>
        <w:tc>
          <w:tcPr>
            <w:tcW w:w="1254"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313</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1,048</w:t>
            </w:r>
          </w:p>
        </w:tc>
        <w:tc>
          <w:tcPr>
            <w:tcW w:w="1343"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9,090</w:t>
            </w:r>
          </w:p>
        </w:tc>
        <w:tc>
          <w:tcPr>
            <w:tcW w:w="1075"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2,097</w:t>
            </w:r>
          </w:p>
        </w:tc>
        <w:tc>
          <w:tcPr>
            <w:tcW w:w="1075" w:type="dxa"/>
            <w:gridSpan w:val="2"/>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54</w:t>
            </w:r>
          </w:p>
        </w:tc>
      </w:tr>
      <w:tr w:rsidR="00000000">
        <w:tblPrEx>
          <w:tblCellMar>
            <w:top w:w="0" w:type="dxa"/>
            <w:bottom w:w="0" w:type="dxa"/>
          </w:tblCellMar>
        </w:tblPrEx>
        <w:trPr>
          <w:cantSplit/>
          <w:jc w:val="center"/>
        </w:trPr>
        <w:tc>
          <w:tcPr>
            <w:tcW w:w="1548" w:type="dxa"/>
            <w:tcBorders>
              <w:left w:val="double" w:sz="4" w:space="0" w:color="auto"/>
              <w:bottom w:val="nil"/>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Sussex</w:t>
            </w:r>
          </w:p>
        </w:tc>
        <w:tc>
          <w:tcPr>
            <w:tcW w:w="1057" w:type="dxa"/>
            <w:tcBorders>
              <w:left w:val="nil"/>
              <w:bottom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0.21</w:t>
            </w:r>
          </w:p>
        </w:tc>
        <w:tc>
          <w:tcPr>
            <w:tcW w:w="1075" w:type="dxa"/>
            <w:tcBorders>
              <w:bottom w:val="nil"/>
            </w:tcBorders>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0.57</w:t>
            </w:r>
          </w:p>
        </w:tc>
        <w:tc>
          <w:tcPr>
            <w:tcW w:w="1254"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7.47</w:t>
            </w:r>
          </w:p>
        </w:tc>
        <w:tc>
          <w:tcPr>
            <w:tcW w:w="1165" w:type="dxa"/>
            <w:tcBorders>
              <w:bottom w:val="nil"/>
            </w:tcBorders>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2.46</w:t>
            </w:r>
          </w:p>
        </w:tc>
        <w:tc>
          <w:tcPr>
            <w:tcW w:w="1254" w:type="dxa"/>
            <w:gridSpan w:val="2"/>
            <w:tcBorders>
              <w:bottom w:val="nil"/>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0.15</w:t>
            </w:r>
          </w:p>
        </w:tc>
        <w:tc>
          <w:tcPr>
            <w:tcW w:w="1254" w:type="dxa"/>
            <w:tcBorders>
              <w:left w:val="nil"/>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39</w:t>
            </w:r>
          </w:p>
        </w:tc>
        <w:tc>
          <w:tcPr>
            <w:tcW w:w="1075"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495</w:t>
            </w:r>
          </w:p>
        </w:tc>
        <w:tc>
          <w:tcPr>
            <w:tcW w:w="1343"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2,936</w:t>
            </w:r>
          </w:p>
        </w:tc>
        <w:tc>
          <w:tcPr>
            <w:tcW w:w="1075"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615</w:t>
            </w:r>
          </w:p>
        </w:tc>
        <w:tc>
          <w:tcPr>
            <w:tcW w:w="1075" w:type="dxa"/>
            <w:gridSpan w:val="2"/>
            <w:tcBorders>
              <w:bottom w:val="nil"/>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55</w:t>
            </w:r>
          </w:p>
        </w:tc>
      </w:tr>
      <w:tr w:rsidR="00000000">
        <w:tblPrEx>
          <w:tblCellMar>
            <w:top w:w="0" w:type="dxa"/>
            <w:bottom w:w="0" w:type="dxa"/>
          </w:tblCellMar>
        </w:tblPrEx>
        <w:trPr>
          <w:cantSplit/>
          <w:jc w:val="center"/>
        </w:trPr>
        <w:tc>
          <w:tcPr>
            <w:tcW w:w="1548" w:type="dxa"/>
            <w:tcBorders>
              <w:top w:val="single" w:sz="2" w:space="0" w:color="000000"/>
              <w:left w:val="double" w:sz="4" w:space="0" w:color="auto"/>
              <w:bottom w:val="nil"/>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Union</w:t>
            </w:r>
          </w:p>
        </w:tc>
        <w:tc>
          <w:tcPr>
            <w:tcW w:w="1057" w:type="dxa"/>
            <w:tcBorders>
              <w:top w:val="single" w:sz="2" w:space="0" w:color="000000"/>
              <w:left w:val="nil"/>
              <w:bottom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18.88</w:t>
            </w:r>
          </w:p>
        </w:tc>
        <w:tc>
          <w:tcPr>
            <w:tcW w:w="1075" w:type="dxa"/>
            <w:tcBorders>
              <w:top w:val="single" w:sz="2" w:space="0" w:color="000000"/>
              <w:bottom w:val="nil"/>
            </w:tcBorders>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2.26</w:t>
            </w:r>
          </w:p>
        </w:tc>
        <w:tc>
          <w:tcPr>
            <w:tcW w:w="1254" w:type="dxa"/>
            <w:tcBorders>
              <w:top w:val="single" w:sz="2" w:space="0" w:color="000000"/>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32.22</w:t>
            </w:r>
          </w:p>
        </w:tc>
        <w:tc>
          <w:tcPr>
            <w:tcW w:w="1165" w:type="dxa"/>
            <w:tcBorders>
              <w:top w:val="single" w:sz="2" w:space="0" w:color="000000"/>
              <w:bottom w:val="nil"/>
            </w:tcBorders>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20.25</w:t>
            </w:r>
          </w:p>
        </w:tc>
        <w:tc>
          <w:tcPr>
            <w:tcW w:w="1254" w:type="dxa"/>
            <w:gridSpan w:val="2"/>
            <w:tcBorders>
              <w:top w:val="single" w:sz="2" w:space="0" w:color="000000"/>
              <w:bottom w:val="nil"/>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0.08</w:t>
            </w:r>
          </w:p>
        </w:tc>
        <w:tc>
          <w:tcPr>
            <w:tcW w:w="1254" w:type="dxa"/>
            <w:tcBorders>
              <w:top w:val="single" w:sz="2" w:space="0" w:color="000000"/>
              <w:left w:val="nil"/>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4,080</w:t>
            </w:r>
          </w:p>
        </w:tc>
        <w:tc>
          <w:tcPr>
            <w:tcW w:w="1075" w:type="dxa"/>
            <w:tcBorders>
              <w:top w:val="single" w:sz="2" w:space="0" w:color="000000"/>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1,621</w:t>
            </w:r>
          </w:p>
        </w:tc>
        <w:tc>
          <w:tcPr>
            <w:tcW w:w="1343" w:type="dxa"/>
            <w:tcBorders>
              <w:top w:val="single" w:sz="2" w:space="0" w:color="000000"/>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12,294</w:t>
            </w:r>
          </w:p>
        </w:tc>
        <w:tc>
          <w:tcPr>
            <w:tcW w:w="1075" w:type="dxa"/>
            <w:tcBorders>
              <w:top w:val="single" w:sz="2" w:space="0" w:color="000000"/>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5,883</w:t>
            </w:r>
          </w:p>
        </w:tc>
        <w:tc>
          <w:tcPr>
            <w:tcW w:w="1075" w:type="dxa"/>
            <w:gridSpan w:val="2"/>
            <w:tcBorders>
              <w:top w:val="single" w:sz="2" w:space="0" w:color="000000"/>
              <w:bottom w:val="nil"/>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28</w:t>
            </w:r>
          </w:p>
        </w:tc>
      </w:tr>
      <w:tr w:rsidR="00000000">
        <w:tblPrEx>
          <w:tblCellMar>
            <w:top w:w="0" w:type="dxa"/>
            <w:bottom w:w="0" w:type="dxa"/>
          </w:tblCellMar>
        </w:tblPrEx>
        <w:trPr>
          <w:cantSplit/>
          <w:jc w:val="center"/>
        </w:trPr>
        <w:tc>
          <w:tcPr>
            <w:tcW w:w="1548" w:type="dxa"/>
            <w:tcBorders>
              <w:top w:val="single" w:sz="2" w:space="0" w:color="000000"/>
              <w:left w:val="double" w:sz="4" w:space="0" w:color="auto"/>
              <w:bottom w:val="single" w:sz="24" w:space="0" w:color="000000"/>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Warren</w:t>
            </w:r>
          </w:p>
        </w:tc>
        <w:tc>
          <w:tcPr>
            <w:tcW w:w="1057" w:type="dxa"/>
            <w:tcBorders>
              <w:top w:val="single" w:sz="2" w:space="0" w:color="000000"/>
              <w:left w:val="nil"/>
              <w:bottom w:val="single" w:sz="24" w:space="0" w:color="000000"/>
            </w:tcBorders>
          </w:tcPr>
          <w:p w:rsidR="00000000" w:rsidRDefault="00C40079">
            <w:pPr>
              <w:tabs>
                <w:tab w:val="left" w:pos="360"/>
                <w:tab w:val="left" w:pos="720"/>
                <w:tab w:val="left" w:pos="1080"/>
                <w:tab w:val="left" w:pos="1440"/>
                <w:tab w:val="left" w:pos="1800"/>
                <w:tab w:val="left" w:pos="2160"/>
              </w:tabs>
              <w:jc w:val="right"/>
              <w:rPr>
                <w:sz w:val="22"/>
              </w:rPr>
            </w:pPr>
            <w:r>
              <w:rPr>
                <w:sz w:val="22"/>
              </w:rPr>
              <w:t>1.93</w:t>
            </w:r>
          </w:p>
        </w:tc>
        <w:tc>
          <w:tcPr>
            <w:tcW w:w="1075" w:type="dxa"/>
            <w:tcBorders>
              <w:top w:val="single" w:sz="2" w:space="0" w:color="000000"/>
              <w:bottom w:val="single" w:sz="24" w:space="0" w:color="000000"/>
            </w:tcBorders>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0.47</w:t>
            </w:r>
          </w:p>
        </w:tc>
        <w:tc>
          <w:tcPr>
            <w:tcW w:w="1254" w:type="dxa"/>
            <w:tcBorders>
              <w:top w:val="single" w:sz="2" w:space="0" w:color="000000"/>
              <w:bottom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15.60</w:t>
            </w:r>
          </w:p>
        </w:tc>
        <w:tc>
          <w:tcPr>
            <w:tcW w:w="1165" w:type="dxa"/>
            <w:tcBorders>
              <w:top w:val="single" w:sz="2" w:space="0" w:color="000000"/>
              <w:bottom w:val="single" w:sz="24" w:space="0" w:color="000000"/>
            </w:tcBorders>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2.48</w:t>
            </w:r>
          </w:p>
        </w:tc>
        <w:tc>
          <w:tcPr>
            <w:tcW w:w="1254" w:type="dxa"/>
            <w:gridSpan w:val="2"/>
            <w:tcBorders>
              <w:top w:val="single" w:sz="2" w:space="0" w:color="000000"/>
              <w:bottom w:val="single" w:sz="24" w:space="0" w:color="000000"/>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0.22</w:t>
            </w:r>
          </w:p>
        </w:tc>
        <w:tc>
          <w:tcPr>
            <w:tcW w:w="1254" w:type="dxa"/>
            <w:tcBorders>
              <w:top w:val="single" w:sz="2" w:space="0" w:color="000000"/>
              <w:left w:val="nil"/>
              <w:bottom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580</w:t>
            </w:r>
          </w:p>
        </w:tc>
        <w:tc>
          <w:tcPr>
            <w:tcW w:w="1075" w:type="dxa"/>
            <w:tcBorders>
              <w:top w:val="single" w:sz="2" w:space="0" w:color="000000"/>
              <w:bottom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379</w:t>
            </w:r>
          </w:p>
        </w:tc>
        <w:tc>
          <w:tcPr>
            <w:tcW w:w="1343" w:type="dxa"/>
            <w:tcBorders>
              <w:top w:val="single" w:sz="2" w:space="0" w:color="000000"/>
              <w:bottom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5,782</w:t>
            </w:r>
          </w:p>
        </w:tc>
        <w:tc>
          <w:tcPr>
            <w:tcW w:w="1075" w:type="dxa"/>
            <w:tcBorders>
              <w:top w:val="single" w:sz="2" w:space="0" w:color="000000"/>
              <w:bottom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631</w:t>
            </w:r>
          </w:p>
        </w:tc>
        <w:tc>
          <w:tcPr>
            <w:tcW w:w="1075" w:type="dxa"/>
            <w:gridSpan w:val="2"/>
            <w:tcBorders>
              <w:top w:val="single" w:sz="2" w:space="0" w:color="000000"/>
              <w:bottom w:val="single" w:sz="24" w:space="0" w:color="000000"/>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79</w:t>
            </w:r>
          </w:p>
        </w:tc>
      </w:tr>
      <w:tr w:rsidR="00000000">
        <w:tblPrEx>
          <w:tblCellMar>
            <w:top w:w="0" w:type="dxa"/>
            <w:bottom w:w="0" w:type="dxa"/>
          </w:tblCellMar>
        </w:tblPrEx>
        <w:trPr>
          <w:cantSplit/>
          <w:trHeight w:val="372"/>
          <w:jc w:val="center"/>
        </w:trPr>
        <w:tc>
          <w:tcPr>
            <w:tcW w:w="1548" w:type="dxa"/>
            <w:tcBorders>
              <w:top w:val="nil"/>
              <w:left w:val="double" w:sz="4" w:space="0" w:color="auto"/>
              <w:bottom w:val="double" w:sz="4" w:space="0" w:color="auto"/>
              <w:right w:val="single" w:sz="24" w:space="0" w:color="000000"/>
            </w:tcBorders>
            <w:vAlign w:val="center"/>
          </w:tcPr>
          <w:p w:rsidR="00000000" w:rsidRDefault="00C40079">
            <w:pPr>
              <w:tabs>
                <w:tab w:val="left" w:pos="360"/>
                <w:tab w:val="left" w:pos="720"/>
                <w:tab w:val="left" w:pos="1080"/>
                <w:tab w:val="left" w:pos="1440"/>
                <w:tab w:val="left" w:pos="1800"/>
                <w:tab w:val="left" w:pos="2160"/>
              </w:tabs>
              <w:rPr>
                <w:b/>
                <w:sz w:val="22"/>
              </w:rPr>
            </w:pPr>
            <w:r>
              <w:rPr>
                <w:b/>
                <w:sz w:val="22"/>
              </w:rPr>
              <w:t>Total in State</w:t>
            </w:r>
          </w:p>
        </w:tc>
        <w:tc>
          <w:tcPr>
            <w:tcW w:w="1057" w:type="dxa"/>
            <w:tcBorders>
              <w:top w:val="nil"/>
              <w:left w:val="nil"/>
              <w:bottom w:val="double" w:sz="4" w:space="0" w:color="auto"/>
            </w:tcBorders>
            <w:vAlign w:val="center"/>
          </w:tcPr>
          <w:p w:rsidR="00000000" w:rsidRDefault="00C40079">
            <w:pPr>
              <w:tabs>
                <w:tab w:val="left" w:pos="360"/>
                <w:tab w:val="left" w:pos="720"/>
                <w:tab w:val="left" w:pos="1080"/>
                <w:tab w:val="left" w:pos="1440"/>
                <w:tab w:val="left" w:pos="1800"/>
                <w:tab w:val="left" w:pos="2160"/>
              </w:tabs>
              <w:jc w:val="right"/>
              <w:rPr>
                <w:sz w:val="22"/>
              </w:rPr>
            </w:pPr>
            <w:r>
              <w:rPr>
                <w:sz w:val="22"/>
              </w:rPr>
              <w:t>280.36</w:t>
            </w:r>
          </w:p>
        </w:tc>
        <w:tc>
          <w:tcPr>
            <w:tcW w:w="1075" w:type="dxa"/>
            <w:tcBorders>
              <w:top w:val="nil"/>
              <w:bottom w:val="double" w:sz="4" w:space="0" w:color="auto"/>
            </w:tcBorders>
            <w:vAlign w:val="center"/>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35.92</w:t>
            </w:r>
          </w:p>
        </w:tc>
        <w:tc>
          <w:tcPr>
            <w:tcW w:w="1254" w:type="dxa"/>
            <w:tcBorders>
              <w:top w:val="nil"/>
              <w:bottom w:val="double" w:sz="4" w:space="0" w:color="auto"/>
            </w:tcBorders>
            <w:vAlign w:val="center"/>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558.66</w:t>
            </w:r>
          </w:p>
        </w:tc>
        <w:tc>
          <w:tcPr>
            <w:tcW w:w="1165" w:type="dxa"/>
            <w:tcBorders>
              <w:top w:val="nil"/>
              <w:bottom w:val="double" w:sz="4" w:space="0" w:color="auto"/>
            </w:tcBorders>
            <w:vAlign w:val="center"/>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231.56</w:t>
            </w:r>
          </w:p>
        </w:tc>
        <w:tc>
          <w:tcPr>
            <w:tcW w:w="1254" w:type="dxa"/>
            <w:gridSpan w:val="2"/>
            <w:tcBorders>
              <w:top w:val="nil"/>
              <w:bottom w:val="double" w:sz="4" w:space="0" w:color="auto"/>
              <w:right w:val="single" w:sz="24" w:space="0" w:color="000000"/>
            </w:tcBorders>
            <w:vAlign w:val="center"/>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3.78</w:t>
            </w:r>
          </w:p>
        </w:tc>
        <w:tc>
          <w:tcPr>
            <w:tcW w:w="1254" w:type="dxa"/>
            <w:tcBorders>
              <w:top w:val="nil"/>
              <w:left w:val="nil"/>
              <w:bottom w:val="double" w:sz="4" w:space="0" w:color="auto"/>
            </w:tcBorders>
            <w:vAlign w:val="center"/>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52,121</w:t>
            </w:r>
          </w:p>
        </w:tc>
        <w:tc>
          <w:tcPr>
            <w:tcW w:w="1075" w:type="dxa"/>
            <w:tcBorders>
              <w:top w:val="nil"/>
              <w:bottom w:val="double" w:sz="4" w:space="0" w:color="auto"/>
            </w:tcBorders>
            <w:vAlign w:val="center"/>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26,742</w:t>
            </w:r>
          </w:p>
        </w:tc>
        <w:tc>
          <w:tcPr>
            <w:tcW w:w="1343" w:type="dxa"/>
            <w:tcBorders>
              <w:top w:val="nil"/>
              <w:bottom w:val="double" w:sz="4" w:space="0" w:color="auto"/>
            </w:tcBorders>
            <w:vAlign w:val="center"/>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206,280</w:t>
            </w:r>
          </w:p>
        </w:tc>
        <w:tc>
          <w:tcPr>
            <w:tcW w:w="1075" w:type="dxa"/>
            <w:tcBorders>
              <w:top w:val="nil"/>
              <w:bottom w:val="double" w:sz="4" w:space="0" w:color="auto"/>
            </w:tcBorders>
            <w:vAlign w:val="center"/>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66,443</w:t>
            </w:r>
          </w:p>
        </w:tc>
        <w:tc>
          <w:tcPr>
            <w:tcW w:w="1075" w:type="dxa"/>
            <w:gridSpan w:val="2"/>
            <w:tcBorders>
              <w:top w:val="nil"/>
              <w:bottom w:val="double" w:sz="4" w:space="0" w:color="auto"/>
              <w:right w:val="double" w:sz="4" w:space="0" w:color="auto"/>
            </w:tcBorders>
            <w:vAlign w:val="center"/>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1,382</w:t>
            </w:r>
          </w:p>
        </w:tc>
      </w:tr>
    </w:tbl>
    <w:p w:rsidR="00000000" w:rsidRDefault="00C40079">
      <w:pPr>
        <w:pStyle w:val="Heading3"/>
        <w:tabs>
          <w:tab w:val="left" w:pos="720"/>
          <w:tab w:val="left" w:pos="1080"/>
          <w:tab w:val="left" w:pos="1440"/>
          <w:tab w:val="left" w:pos="1800"/>
          <w:tab w:val="left" w:pos="2160"/>
        </w:tabs>
      </w:pPr>
      <w:r>
        <w:br w:type="page"/>
      </w:r>
      <w:r>
        <w:lastRenderedPageBreak/>
        <w:t>Table XIX (cont.) – 2002 Statewide Emission Inventory by County and Source Sector</w:t>
      </w:r>
    </w:p>
    <w:p w:rsidR="00000000" w:rsidRDefault="00C40079">
      <w:pPr>
        <w:pStyle w:val="Level2"/>
        <w:widowControl/>
        <w:tabs>
          <w:tab w:val="left" w:pos="720"/>
          <w:tab w:val="left" w:pos="1080"/>
          <w:tab w:val="left" w:pos="1440"/>
          <w:tab w:val="left" w:pos="1800"/>
          <w:tab w:val="left" w:pos="2160"/>
        </w:tabs>
      </w:pPr>
    </w:p>
    <w:tbl>
      <w:tblPr>
        <w:tblW w:w="0" w:type="auto"/>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AF" w:firstRow="1" w:lastRow="0" w:firstColumn="1" w:lastColumn="0" w:noHBand="0" w:noVBand="0"/>
      </w:tblPr>
      <w:tblGrid>
        <w:gridCol w:w="1440"/>
        <w:gridCol w:w="1163"/>
        <w:gridCol w:w="1163"/>
        <w:gridCol w:w="1431"/>
        <w:gridCol w:w="1163"/>
        <w:gridCol w:w="1119"/>
        <w:gridCol w:w="1179"/>
        <w:gridCol w:w="1102"/>
        <w:gridCol w:w="1418"/>
        <w:gridCol w:w="1170"/>
        <w:gridCol w:w="1170"/>
      </w:tblGrid>
      <w:tr w:rsidR="00000000">
        <w:tblPrEx>
          <w:tblCellMar>
            <w:top w:w="0" w:type="dxa"/>
            <w:bottom w:w="0" w:type="dxa"/>
          </w:tblCellMar>
        </w:tblPrEx>
        <w:trPr>
          <w:cantSplit/>
          <w:jc w:val="center"/>
        </w:trPr>
        <w:tc>
          <w:tcPr>
            <w:tcW w:w="1440" w:type="dxa"/>
            <w:vMerge w:val="restart"/>
            <w:tcBorders>
              <w:top w:val="double" w:sz="4" w:space="0" w:color="auto"/>
              <w:left w:val="double" w:sz="4" w:space="0" w:color="auto"/>
              <w:bottom w:val="nil"/>
              <w:right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p>
          <w:p w:rsidR="00000000" w:rsidRDefault="00C40079">
            <w:pPr>
              <w:tabs>
                <w:tab w:val="left" w:pos="360"/>
                <w:tab w:val="left" w:pos="720"/>
                <w:tab w:val="left" w:pos="1080"/>
                <w:tab w:val="left" w:pos="1440"/>
                <w:tab w:val="left" w:pos="1800"/>
                <w:tab w:val="left" w:pos="2160"/>
              </w:tabs>
              <w:jc w:val="center"/>
              <w:rPr>
                <w:b/>
                <w:sz w:val="22"/>
              </w:rPr>
            </w:pPr>
          </w:p>
          <w:p w:rsidR="00000000" w:rsidRDefault="00C40079">
            <w:pPr>
              <w:tabs>
                <w:tab w:val="left" w:pos="360"/>
                <w:tab w:val="left" w:pos="720"/>
                <w:tab w:val="left" w:pos="1080"/>
                <w:tab w:val="left" w:pos="1440"/>
                <w:tab w:val="left" w:pos="1800"/>
                <w:tab w:val="left" w:pos="2160"/>
              </w:tabs>
              <w:jc w:val="center"/>
              <w:rPr>
                <w:b/>
                <w:sz w:val="22"/>
              </w:rPr>
            </w:pPr>
          </w:p>
          <w:p w:rsidR="00000000" w:rsidRDefault="00C40079">
            <w:pPr>
              <w:tabs>
                <w:tab w:val="left" w:pos="360"/>
                <w:tab w:val="left" w:pos="720"/>
                <w:tab w:val="left" w:pos="1080"/>
                <w:tab w:val="left" w:pos="1440"/>
                <w:tab w:val="left" w:pos="1800"/>
                <w:tab w:val="left" w:pos="2160"/>
              </w:tabs>
              <w:jc w:val="center"/>
              <w:rPr>
                <w:b/>
                <w:sz w:val="22"/>
              </w:rPr>
            </w:pPr>
            <w:r>
              <w:rPr>
                <w:b/>
                <w:sz w:val="22"/>
              </w:rPr>
              <w:t>County</w:t>
            </w:r>
          </w:p>
        </w:tc>
        <w:tc>
          <w:tcPr>
            <w:tcW w:w="6039" w:type="dxa"/>
            <w:gridSpan w:val="5"/>
            <w:tcBorders>
              <w:top w:val="double" w:sz="4" w:space="0" w:color="auto"/>
              <w:left w:val="nil"/>
              <w:bottom w:val="nil"/>
              <w:right w:val="single" w:sz="24" w:space="0" w:color="auto"/>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Carbon Monoxide</w:t>
            </w:r>
          </w:p>
          <w:p w:rsidR="00000000" w:rsidRDefault="00C40079">
            <w:pPr>
              <w:tabs>
                <w:tab w:val="left" w:pos="360"/>
                <w:tab w:val="left" w:pos="720"/>
                <w:tab w:val="left" w:pos="1080"/>
                <w:tab w:val="left" w:pos="1440"/>
                <w:tab w:val="left" w:pos="1800"/>
                <w:tab w:val="left" w:pos="2160"/>
              </w:tabs>
              <w:jc w:val="center"/>
              <w:rPr>
                <w:b/>
                <w:sz w:val="22"/>
              </w:rPr>
            </w:pPr>
            <w:r>
              <w:rPr>
                <w:b/>
                <w:sz w:val="22"/>
              </w:rPr>
              <w:t>Tons per  Summ</w:t>
            </w:r>
            <w:r>
              <w:rPr>
                <w:b/>
                <w:sz w:val="22"/>
              </w:rPr>
              <w:t>er Day</w:t>
            </w:r>
          </w:p>
        </w:tc>
        <w:tc>
          <w:tcPr>
            <w:tcW w:w="6039" w:type="dxa"/>
            <w:gridSpan w:val="5"/>
            <w:tcBorders>
              <w:top w:val="double" w:sz="4" w:space="0" w:color="auto"/>
              <w:left w:val="nil"/>
              <w:bottom w:val="nil"/>
              <w:right w:val="double" w:sz="4" w:space="0" w:color="auto"/>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Carbon Monoxide</w:t>
            </w:r>
          </w:p>
          <w:p w:rsidR="00000000" w:rsidRDefault="00C40079">
            <w:pPr>
              <w:tabs>
                <w:tab w:val="left" w:pos="360"/>
                <w:tab w:val="left" w:pos="720"/>
                <w:tab w:val="left" w:pos="1080"/>
                <w:tab w:val="left" w:pos="1440"/>
                <w:tab w:val="left" w:pos="1800"/>
                <w:tab w:val="left" w:pos="2160"/>
              </w:tabs>
              <w:jc w:val="center"/>
              <w:rPr>
                <w:b/>
                <w:sz w:val="22"/>
              </w:rPr>
            </w:pPr>
            <w:r>
              <w:rPr>
                <w:b/>
                <w:sz w:val="22"/>
              </w:rPr>
              <w:t>Tons per Year</w:t>
            </w:r>
          </w:p>
        </w:tc>
      </w:tr>
      <w:tr w:rsidR="00000000">
        <w:tblPrEx>
          <w:tblCellMar>
            <w:top w:w="0" w:type="dxa"/>
            <w:bottom w:w="0" w:type="dxa"/>
          </w:tblCellMar>
        </w:tblPrEx>
        <w:trPr>
          <w:cantSplit/>
          <w:jc w:val="center"/>
        </w:trPr>
        <w:tc>
          <w:tcPr>
            <w:tcW w:w="1440" w:type="dxa"/>
            <w:vMerge/>
            <w:tcBorders>
              <w:top w:val="nil"/>
              <w:left w:val="double" w:sz="4" w:space="0" w:color="auto"/>
              <w:bottom w:val="single" w:sz="24" w:space="0" w:color="000000"/>
              <w:right w:val="single" w:sz="24" w:space="0" w:color="000000"/>
            </w:tcBorders>
          </w:tcPr>
          <w:p w:rsidR="00000000" w:rsidRDefault="00C40079">
            <w:pPr>
              <w:tabs>
                <w:tab w:val="left" w:pos="360"/>
                <w:tab w:val="left" w:pos="720"/>
                <w:tab w:val="left" w:pos="1080"/>
                <w:tab w:val="left" w:pos="1440"/>
                <w:tab w:val="left" w:pos="1800"/>
                <w:tab w:val="left" w:pos="2160"/>
              </w:tabs>
              <w:jc w:val="center"/>
              <w:rPr>
                <w:sz w:val="22"/>
              </w:rPr>
            </w:pPr>
          </w:p>
        </w:tc>
        <w:tc>
          <w:tcPr>
            <w:tcW w:w="1163" w:type="dxa"/>
            <w:tcBorders>
              <w:top w:val="single" w:sz="12" w:space="0" w:color="000000"/>
              <w:left w:val="nil"/>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Point Sources</w:t>
            </w:r>
          </w:p>
        </w:tc>
        <w:tc>
          <w:tcPr>
            <w:tcW w:w="1163" w:type="dxa"/>
            <w:tcBorders>
              <w:top w:val="single" w:sz="12" w:space="0" w:color="000000"/>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Area Sources</w:t>
            </w:r>
          </w:p>
        </w:tc>
        <w:tc>
          <w:tcPr>
            <w:tcW w:w="1431" w:type="dxa"/>
            <w:tcBorders>
              <w:top w:val="single" w:sz="12" w:space="0" w:color="000000"/>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Onroad Sources</w:t>
            </w:r>
          </w:p>
        </w:tc>
        <w:tc>
          <w:tcPr>
            <w:tcW w:w="1163" w:type="dxa"/>
            <w:tcBorders>
              <w:top w:val="single" w:sz="12" w:space="0" w:color="000000"/>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Nonroad Sources</w:t>
            </w:r>
          </w:p>
        </w:tc>
        <w:tc>
          <w:tcPr>
            <w:tcW w:w="1119" w:type="dxa"/>
            <w:tcBorders>
              <w:top w:val="single" w:sz="12" w:space="0" w:color="000000"/>
              <w:bottom w:val="single" w:sz="24" w:space="0" w:color="000000"/>
              <w:right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Biogenic</w:t>
            </w:r>
          </w:p>
        </w:tc>
        <w:tc>
          <w:tcPr>
            <w:tcW w:w="1179" w:type="dxa"/>
            <w:tcBorders>
              <w:top w:val="single" w:sz="12" w:space="0" w:color="000000"/>
              <w:left w:val="nil"/>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Point Sources</w:t>
            </w:r>
          </w:p>
        </w:tc>
        <w:tc>
          <w:tcPr>
            <w:tcW w:w="1102" w:type="dxa"/>
            <w:tcBorders>
              <w:top w:val="single" w:sz="12" w:space="0" w:color="000000"/>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Area Sources</w:t>
            </w:r>
          </w:p>
        </w:tc>
        <w:tc>
          <w:tcPr>
            <w:tcW w:w="1418" w:type="dxa"/>
            <w:tcBorders>
              <w:top w:val="single" w:sz="12" w:space="0" w:color="000000"/>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Onroad Sources</w:t>
            </w:r>
          </w:p>
        </w:tc>
        <w:tc>
          <w:tcPr>
            <w:tcW w:w="1170" w:type="dxa"/>
            <w:tcBorders>
              <w:top w:val="single" w:sz="12" w:space="0" w:color="000000"/>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Nonroad Sources</w:t>
            </w:r>
          </w:p>
        </w:tc>
        <w:tc>
          <w:tcPr>
            <w:tcW w:w="1170" w:type="dxa"/>
            <w:tcBorders>
              <w:top w:val="single" w:sz="12" w:space="0" w:color="000000"/>
              <w:bottom w:val="single" w:sz="24" w:space="0" w:color="000000"/>
              <w:right w:val="double" w:sz="4" w:space="0" w:color="auto"/>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Biogenic</w:t>
            </w:r>
          </w:p>
        </w:tc>
      </w:tr>
      <w:tr w:rsidR="00000000">
        <w:tblPrEx>
          <w:tblCellMar>
            <w:top w:w="0" w:type="dxa"/>
            <w:bottom w:w="0" w:type="dxa"/>
          </w:tblCellMar>
        </w:tblPrEx>
        <w:trPr>
          <w:cantSplit/>
          <w:jc w:val="center"/>
        </w:trPr>
        <w:tc>
          <w:tcPr>
            <w:tcW w:w="1440" w:type="dxa"/>
            <w:tcBorders>
              <w:top w:val="nil"/>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 xml:space="preserve">Atlantic </w:t>
            </w:r>
          </w:p>
        </w:tc>
        <w:tc>
          <w:tcPr>
            <w:tcW w:w="1163" w:type="dxa"/>
            <w:tcBorders>
              <w:top w:val="nil"/>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0.36</w:t>
            </w:r>
          </w:p>
        </w:tc>
        <w:tc>
          <w:tcPr>
            <w:tcW w:w="1163" w:type="dxa"/>
            <w:tcBorders>
              <w:top w:val="nil"/>
            </w:tcBorders>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2.66</w:t>
            </w:r>
          </w:p>
        </w:tc>
        <w:tc>
          <w:tcPr>
            <w:tcW w:w="1431" w:type="dxa"/>
            <w:tcBorders>
              <w:top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155.53</w:t>
            </w:r>
          </w:p>
        </w:tc>
        <w:tc>
          <w:tcPr>
            <w:tcW w:w="1163" w:type="dxa"/>
            <w:tcBorders>
              <w:top w:val="nil"/>
            </w:tcBorders>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70.26</w:t>
            </w:r>
          </w:p>
        </w:tc>
        <w:tc>
          <w:tcPr>
            <w:tcW w:w="1119" w:type="dxa"/>
            <w:tcBorders>
              <w:top w:val="nil"/>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2.96</w:t>
            </w:r>
          </w:p>
        </w:tc>
        <w:tc>
          <w:tcPr>
            <w:tcW w:w="1179" w:type="dxa"/>
            <w:tcBorders>
              <w:top w:val="nil"/>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66</w:t>
            </w:r>
          </w:p>
        </w:tc>
        <w:tc>
          <w:tcPr>
            <w:tcW w:w="1102" w:type="dxa"/>
            <w:tcBorders>
              <w:top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10,726</w:t>
            </w:r>
          </w:p>
        </w:tc>
        <w:tc>
          <w:tcPr>
            <w:tcW w:w="1418" w:type="dxa"/>
            <w:tcBorders>
              <w:top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53,885</w:t>
            </w:r>
          </w:p>
        </w:tc>
        <w:tc>
          <w:tcPr>
            <w:tcW w:w="1170" w:type="dxa"/>
            <w:tcBorders>
              <w:top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19,798</w:t>
            </w:r>
          </w:p>
        </w:tc>
        <w:tc>
          <w:tcPr>
            <w:tcW w:w="1170" w:type="dxa"/>
            <w:tcBorders>
              <w:top w:val="nil"/>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1,080</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 xml:space="preserve">Bergen </w:t>
            </w:r>
          </w:p>
        </w:tc>
        <w:tc>
          <w:tcPr>
            <w:tcW w:w="1163"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2.36</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2.07</w:t>
            </w:r>
          </w:p>
        </w:tc>
        <w:tc>
          <w:tcPr>
            <w:tcW w:w="1431"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324.50</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358.25</w:t>
            </w:r>
          </w:p>
        </w:tc>
        <w:tc>
          <w:tcPr>
            <w:tcW w:w="1119"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0.54</w:t>
            </w:r>
          </w:p>
        </w:tc>
        <w:tc>
          <w:tcPr>
            <w:tcW w:w="1179"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619</w:t>
            </w:r>
          </w:p>
        </w:tc>
        <w:tc>
          <w:tcPr>
            <w:tcW w:w="1102"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1,453</w:t>
            </w:r>
          </w:p>
        </w:tc>
        <w:tc>
          <w:tcPr>
            <w:tcW w:w="1418"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166,589</w:t>
            </w:r>
          </w:p>
        </w:tc>
        <w:tc>
          <w:tcPr>
            <w:tcW w:w="117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93,002</w:t>
            </w:r>
          </w:p>
        </w:tc>
        <w:tc>
          <w:tcPr>
            <w:tcW w:w="117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199</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 xml:space="preserve">Burlington </w:t>
            </w:r>
          </w:p>
        </w:tc>
        <w:tc>
          <w:tcPr>
            <w:tcW w:w="1163"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1.48</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1.97</w:t>
            </w:r>
          </w:p>
        </w:tc>
        <w:tc>
          <w:tcPr>
            <w:tcW w:w="1431"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168.90</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121.35</w:t>
            </w:r>
          </w:p>
        </w:tc>
        <w:tc>
          <w:tcPr>
            <w:tcW w:w="1119"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3.33</w:t>
            </w:r>
          </w:p>
        </w:tc>
        <w:tc>
          <w:tcPr>
            <w:tcW w:w="1179"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413</w:t>
            </w:r>
          </w:p>
        </w:tc>
        <w:tc>
          <w:tcPr>
            <w:tcW w:w="1102"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9,709</w:t>
            </w:r>
          </w:p>
        </w:tc>
        <w:tc>
          <w:tcPr>
            <w:tcW w:w="1418"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83,768</w:t>
            </w:r>
          </w:p>
        </w:tc>
        <w:tc>
          <w:tcPr>
            <w:tcW w:w="117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31,350</w:t>
            </w:r>
          </w:p>
        </w:tc>
        <w:tc>
          <w:tcPr>
            <w:tcW w:w="117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1,216</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Camden</w:t>
            </w:r>
          </w:p>
        </w:tc>
        <w:tc>
          <w:tcPr>
            <w:tcW w:w="1163"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3.28</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6.89</w:t>
            </w:r>
          </w:p>
        </w:tc>
        <w:tc>
          <w:tcPr>
            <w:tcW w:w="1431"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145.90</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112.44</w:t>
            </w:r>
          </w:p>
        </w:tc>
        <w:tc>
          <w:tcPr>
            <w:tcW w:w="1119"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1.57</w:t>
            </w:r>
          </w:p>
        </w:tc>
        <w:tc>
          <w:tcPr>
            <w:tcW w:w="1179"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1,154</w:t>
            </w:r>
          </w:p>
        </w:tc>
        <w:tc>
          <w:tcPr>
            <w:tcW w:w="1102"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3,789</w:t>
            </w:r>
          </w:p>
        </w:tc>
        <w:tc>
          <w:tcPr>
            <w:tcW w:w="1418"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72,489</w:t>
            </w:r>
          </w:p>
        </w:tc>
        <w:tc>
          <w:tcPr>
            <w:tcW w:w="117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29,402</w:t>
            </w:r>
          </w:p>
        </w:tc>
        <w:tc>
          <w:tcPr>
            <w:tcW w:w="117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574</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Cape May</w:t>
            </w:r>
          </w:p>
        </w:tc>
        <w:tc>
          <w:tcPr>
            <w:tcW w:w="1163"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2.18</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0.66</w:t>
            </w:r>
          </w:p>
        </w:tc>
        <w:tc>
          <w:tcPr>
            <w:tcW w:w="1431"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53.58</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80.06</w:t>
            </w:r>
          </w:p>
        </w:tc>
        <w:tc>
          <w:tcPr>
            <w:tcW w:w="1119"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1.54</w:t>
            </w:r>
          </w:p>
        </w:tc>
        <w:tc>
          <w:tcPr>
            <w:tcW w:w="1179"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311</w:t>
            </w:r>
          </w:p>
        </w:tc>
        <w:tc>
          <w:tcPr>
            <w:tcW w:w="1102"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4,145</w:t>
            </w:r>
          </w:p>
        </w:tc>
        <w:tc>
          <w:tcPr>
            <w:tcW w:w="1418"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18,758</w:t>
            </w:r>
          </w:p>
        </w:tc>
        <w:tc>
          <w:tcPr>
            <w:tcW w:w="117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26,265</w:t>
            </w:r>
          </w:p>
        </w:tc>
        <w:tc>
          <w:tcPr>
            <w:tcW w:w="117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562</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Cumberland</w:t>
            </w:r>
          </w:p>
        </w:tc>
        <w:tc>
          <w:tcPr>
            <w:tcW w:w="1163"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1.56</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1.13</w:t>
            </w:r>
          </w:p>
        </w:tc>
        <w:tc>
          <w:tcPr>
            <w:tcW w:w="1431"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56.91</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50.35</w:t>
            </w:r>
          </w:p>
        </w:tc>
        <w:tc>
          <w:tcPr>
            <w:tcW w:w="1119"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2.28</w:t>
            </w:r>
          </w:p>
        </w:tc>
        <w:tc>
          <w:tcPr>
            <w:tcW w:w="1179"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126</w:t>
            </w:r>
          </w:p>
        </w:tc>
        <w:tc>
          <w:tcPr>
            <w:tcW w:w="1102"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3,196</w:t>
            </w:r>
          </w:p>
        </w:tc>
        <w:tc>
          <w:tcPr>
            <w:tcW w:w="1418"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19,994</w:t>
            </w:r>
          </w:p>
        </w:tc>
        <w:tc>
          <w:tcPr>
            <w:tcW w:w="117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15,941</w:t>
            </w:r>
          </w:p>
        </w:tc>
        <w:tc>
          <w:tcPr>
            <w:tcW w:w="117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831</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Essex</w:t>
            </w:r>
          </w:p>
        </w:tc>
        <w:tc>
          <w:tcPr>
            <w:tcW w:w="1163"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3.61</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2.40</w:t>
            </w:r>
          </w:p>
        </w:tc>
        <w:tc>
          <w:tcPr>
            <w:tcW w:w="1431"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187.93</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182.98</w:t>
            </w:r>
          </w:p>
        </w:tc>
        <w:tc>
          <w:tcPr>
            <w:tcW w:w="1119"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0.45</w:t>
            </w:r>
          </w:p>
        </w:tc>
        <w:tc>
          <w:tcPr>
            <w:tcW w:w="1179"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624</w:t>
            </w:r>
          </w:p>
        </w:tc>
        <w:tc>
          <w:tcPr>
            <w:tcW w:w="1102"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1,306</w:t>
            </w:r>
          </w:p>
        </w:tc>
        <w:tc>
          <w:tcPr>
            <w:tcW w:w="1418"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96,967</w:t>
            </w:r>
          </w:p>
        </w:tc>
        <w:tc>
          <w:tcPr>
            <w:tcW w:w="117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53,407</w:t>
            </w:r>
          </w:p>
        </w:tc>
        <w:tc>
          <w:tcPr>
            <w:tcW w:w="117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164</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Gloucester</w:t>
            </w:r>
          </w:p>
        </w:tc>
        <w:tc>
          <w:tcPr>
            <w:tcW w:w="1163"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3.27</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1.54</w:t>
            </w:r>
          </w:p>
        </w:tc>
        <w:tc>
          <w:tcPr>
            <w:tcW w:w="1431"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99.80</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77.69</w:t>
            </w:r>
          </w:p>
        </w:tc>
        <w:tc>
          <w:tcPr>
            <w:tcW w:w="1119"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1.41</w:t>
            </w:r>
          </w:p>
        </w:tc>
        <w:tc>
          <w:tcPr>
            <w:tcW w:w="1179"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1,029</w:t>
            </w:r>
          </w:p>
        </w:tc>
        <w:tc>
          <w:tcPr>
            <w:tcW w:w="1102"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4,513</w:t>
            </w:r>
          </w:p>
        </w:tc>
        <w:tc>
          <w:tcPr>
            <w:tcW w:w="1418"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49,458</w:t>
            </w:r>
          </w:p>
        </w:tc>
        <w:tc>
          <w:tcPr>
            <w:tcW w:w="117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19,203</w:t>
            </w:r>
          </w:p>
        </w:tc>
        <w:tc>
          <w:tcPr>
            <w:tcW w:w="117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516</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Hudson</w:t>
            </w:r>
          </w:p>
        </w:tc>
        <w:tc>
          <w:tcPr>
            <w:tcW w:w="1163"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9.42</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1.22</w:t>
            </w:r>
          </w:p>
        </w:tc>
        <w:tc>
          <w:tcPr>
            <w:tcW w:w="1431"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87.49</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68.72</w:t>
            </w:r>
          </w:p>
        </w:tc>
        <w:tc>
          <w:tcPr>
            <w:tcW w:w="1119"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0.44</w:t>
            </w:r>
          </w:p>
        </w:tc>
        <w:tc>
          <w:tcPr>
            <w:tcW w:w="1179"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2,058</w:t>
            </w:r>
          </w:p>
        </w:tc>
        <w:tc>
          <w:tcPr>
            <w:tcW w:w="1102"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896</w:t>
            </w:r>
          </w:p>
        </w:tc>
        <w:tc>
          <w:tcPr>
            <w:tcW w:w="1418"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44,767</w:t>
            </w:r>
          </w:p>
        </w:tc>
        <w:tc>
          <w:tcPr>
            <w:tcW w:w="117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20,</w:t>
            </w:r>
            <w:r>
              <w:rPr>
                <w:snapToGrid w:val="0"/>
                <w:color w:val="000000"/>
                <w:sz w:val="22"/>
              </w:rPr>
              <w:t>015</w:t>
            </w:r>
          </w:p>
        </w:tc>
        <w:tc>
          <w:tcPr>
            <w:tcW w:w="117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161</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Hunterdon</w:t>
            </w:r>
          </w:p>
        </w:tc>
        <w:tc>
          <w:tcPr>
            <w:tcW w:w="1163"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6.43</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1.03</w:t>
            </w:r>
          </w:p>
        </w:tc>
        <w:tc>
          <w:tcPr>
            <w:tcW w:w="1431"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64.94</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48.31</w:t>
            </w:r>
          </w:p>
        </w:tc>
        <w:tc>
          <w:tcPr>
            <w:tcW w:w="1119"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1.60</w:t>
            </w:r>
          </w:p>
        </w:tc>
        <w:tc>
          <w:tcPr>
            <w:tcW w:w="1179"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259</w:t>
            </w:r>
          </w:p>
        </w:tc>
        <w:tc>
          <w:tcPr>
            <w:tcW w:w="1102"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3,973</w:t>
            </w:r>
          </w:p>
        </w:tc>
        <w:tc>
          <w:tcPr>
            <w:tcW w:w="1418"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34,283</w:t>
            </w:r>
          </w:p>
        </w:tc>
        <w:tc>
          <w:tcPr>
            <w:tcW w:w="117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11,896</w:t>
            </w:r>
          </w:p>
        </w:tc>
        <w:tc>
          <w:tcPr>
            <w:tcW w:w="117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585</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Mercer</w:t>
            </w:r>
          </w:p>
        </w:tc>
        <w:tc>
          <w:tcPr>
            <w:tcW w:w="1163"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1.51</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1.37</w:t>
            </w:r>
          </w:p>
        </w:tc>
        <w:tc>
          <w:tcPr>
            <w:tcW w:w="1431"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122.70</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104.18</w:t>
            </w:r>
          </w:p>
        </w:tc>
        <w:tc>
          <w:tcPr>
            <w:tcW w:w="1119"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1.42</w:t>
            </w:r>
          </w:p>
        </w:tc>
        <w:tc>
          <w:tcPr>
            <w:tcW w:w="1179"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323</w:t>
            </w:r>
          </w:p>
        </w:tc>
        <w:tc>
          <w:tcPr>
            <w:tcW w:w="1102"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2,567</w:t>
            </w:r>
          </w:p>
        </w:tc>
        <w:tc>
          <w:tcPr>
            <w:tcW w:w="1418"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61,101</w:t>
            </w:r>
          </w:p>
        </w:tc>
        <w:tc>
          <w:tcPr>
            <w:tcW w:w="117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25,685</w:t>
            </w:r>
          </w:p>
        </w:tc>
        <w:tc>
          <w:tcPr>
            <w:tcW w:w="117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518</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Middlesex</w:t>
            </w:r>
          </w:p>
        </w:tc>
        <w:tc>
          <w:tcPr>
            <w:tcW w:w="1163"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34.20</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2.54</w:t>
            </w:r>
          </w:p>
        </w:tc>
        <w:tc>
          <w:tcPr>
            <w:tcW w:w="1431"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287.54</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228.84</w:t>
            </w:r>
          </w:p>
        </w:tc>
        <w:tc>
          <w:tcPr>
            <w:tcW w:w="1119"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1.16</w:t>
            </w:r>
          </w:p>
        </w:tc>
        <w:tc>
          <w:tcPr>
            <w:tcW w:w="1179"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3,034</w:t>
            </w:r>
          </w:p>
        </w:tc>
        <w:tc>
          <w:tcPr>
            <w:tcW w:w="1102"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1,309</w:t>
            </w:r>
          </w:p>
        </w:tc>
        <w:tc>
          <w:tcPr>
            <w:tcW w:w="1418"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149,288</w:t>
            </w:r>
          </w:p>
        </w:tc>
        <w:tc>
          <w:tcPr>
            <w:tcW w:w="117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57,965</w:t>
            </w:r>
          </w:p>
        </w:tc>
        <w:tc>
          <w:tcPr>
            <w:tcW w:w="117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424</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Monmouth</w:t>
            </w:r>
          </w:p>
        </w:tc>
        <w:tc>
          <w:tcPr>
            <w:tcW w:w="1163"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1.28</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1.79</w:t>
            </w:r>
          </w:p>
        </w:tc>
        <w:tc>
          <w:tcPr>
            <w:tcW w:w="1431"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227.22</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212.60</w:t>
            </w:r>
          </w:p>
        </w:tc>
        <w:tc>
          <w:tcPr>
            <w:tcW w:w="1119"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1.98</w:t>
            </w:r>
          </w:p>
        </w:tc>
        <w:tc>
          <w:tcPr>
            <w:tcW w:w="1179"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381</w:t>
            </w:r>
          </w:p>
        </w:tc>
        <w:tc>
          <w:tcPr>
            <w:tcW w:w="1102"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w:t>
            </w:r>
            <w:r>
              <w:rPr>
                <w:snapToGrid w:val="0"/>
                <w:color w:val="000000"/>
                <w:sz w:val="22"/>
              </w:rPr>
              <w:t>252</w:t>
            </w:r>
          </w:p>
        </w:tc>
        <w:tc>
          <w:tcPr>
            <w:tcW w:w="1418"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118,952</w:t>
            </w:r>
          </w:p>
        </w:tc>
        <w:tc>
          <w:tcPr>
            <w:tcW w:w="117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55,614</w:t>
            </w:r>
          </w:p>
        </w:tc>
        <w:tc>
          <w:tcPr>
            <w:tcW w:w="117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722</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Morris</w:t>
            </w:r>
          </w:p>
        </w:tc>
        <w:tc>
          <w:tcPr>
            <w:tcW w:w="1163"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2.24</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2.35</w:t>
            </w:r>
          </w:p>
        </w:tc>
        <w:tc>
          <w:tcPr>
            <w:tcW w:w="1431"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209.14</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227.91</w:t>
            </w:r>
          </w:p>
        </w:tc>
        <w:tc>
          <w:tcPr>
            <w:tcW w:w="1119"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1.42</w:t>
            </w:r>
          </w:p>
        </w:tc>
        <w:tc>
          <w:tcPr>
            <w:tcW w:w="1179"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266</w:t>
            </w:r>
          </w:p>
        </w:tc>
        <w:tc>
          <w:tcPr>
            <w:tcW w:w="1102"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8,121</w:t>
            </w:r>
          </w:p>
        </w:tc>
        <w:tc>
          <w:tcPr>
            <w:tcW w:w="1418"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109,947</w:t>
            </w:r>
          </w:p>
        </w:tc>
        <w:tc>
          <w:tcPr>
            <w:tcW w:w="117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56,136</w:t>
            </w:r>
          </w:p>
        </w:tc>
        <w:tc>
          <w:tcPr>
            <w:tcW w:w="117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519</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Ocean</w:t>
            </w:r>
          </w:p>
        </w:tc>
        <w:tc>
          <w:tcPr>
            <w:tcW w:w="1163"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1.21</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29.78</w:t>
            </w:r>
          </w:p>
        </w:tc>
        <w:tc>
          <w:tcPr>
            <w:tcW w:w="1431"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135.96</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143.85</w:t>
            </w:r>
          </w:p>
        </w:tc>
        <w:tc>
          <w:tcPr>
            <w:tcW w:w="1119"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3.89</w:t>
            </w:r>
          </w:p>
        </w:tc>
        <w:tc>
          <w:tcPr>
            <w:tcW w:w="1179"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271</w:t>
            </w:r>
          </w:p>
        </w:tc>
        <w:tc>
          <w:tcPr>
            <w:tcW w:w="1102"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10,563</w:t>
            </w:r>
          </w:p>
        </w:tc>
        <w:tc>
          <w:tcPr>
            <w:tcW w:w="1418"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72,072</w:t>
            </w:r>
          </w:p>
        </w:tc>
        <w:tc>
          <w:tcPr>
            <w:tcW w:w="117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40,914</w:t>
            </w:r>
          </w:p>
        </w:tc>
        <w:tc>
          <w:tcPr>
            <w:tcW w:w="117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1,420</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Passaic</w:t>
            </w:r>
          </w:p>
        </w:tc>
        <w:tc>
          <w:tcPr>
            <w:tcW w:w="1163"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0.40</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1.23</w:t>
            </w:r>
          </w:p>
        </w:tc>
        <w:tc>
          <w:tcPr>
            <w:tcW w:w="1431"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105.86</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98.09</w:t>
            </w:r>
          </w:p>
        </w:tc>
        <w:tc>
          <w:tcPr>
            <w:tcW w:w="1119"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1.13</w:t>
            </w:r>
          </w:p>
        </w:tc>
        <w:tc>
          <w:tcPr>
            <w:tcW w:w="1179"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68</w:t>
            </w:r>
          </w:p>
        </w:tc>
        <w:tc>
          <w:tcPr>
            <w:tcW w:w="1102"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2,985</w:t>
            </w:r>
          </w:p>
        </w:tc>
        <w:tc>
          <w:tcPr>
            <w:tcW w:w="1418"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55,414</w:t>
            </w:r>
          </w:p>
        </w:tc>
        <w:tc>
          <w:tcPr>
            <w:tcW w:w="117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26,769</w:t>
            </w:r>
          </w:p>
        </w:tc>
        <w:tc>
          <w:tcPr>
            <w:tcW w:w="117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412</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Salem</w:t>
            </w:r>
          </w:p>
        </w:tc>
        <w:tc>
          <w:tcPr>
            <w:tcW w:w="1163"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2.28</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0.57</w:t>
            </w:r>
          </w:p>
        </w:tc>
        <w:tc>
          <w:tcPr>
            <w:tcW w:w="1431"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49.04</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21.42</w:t>
            </w:r>
          </w:p>
        </w:tc>
        <w:tc>
          <w:tcPr>
            <w:tcW w:w="1119"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1.63</w:t>
            </w:r>
          </w:p>
        </w:tc>
        <w:tc>
          <w:tcPr>
            <w:tcW w:w="1179"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w:t>
            </w:r>
            <w:r>
              <w:rPr>
                <w:snapToGrid w:val="0"/>
                <w:color w:val="000000"/>
                <w:sz w:val="22"/>
              </w:rPr>
              <w:t>87</w:t>
            </w:r>
          </w:p>
        </w:tc>
        <w:tc>
          <w:tcPr>
            <w:tcW w:w="1102"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2,389</w:t>
            </w:r>
          </w:p>
        </w:tc>
        <w:tc>
          <w:tcPr>
            <w:tcW w:w="1418"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17,071</w:t>
            </w:r>
          </w:p>
        </w:tc>
        <w:tc>
          <w:tcPr>
            <w:tcW w:w="117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5,991</w:t>
            </w:r>
          </w:p>
        </w:tc>
        <w:tc>
          <w:tcPr>
            <w:tcW w:w="117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595</w:t>
            </w:r>
          </w:p>
        </w:tc>
      </w:tr>
      <w:tr w:rsidR="00000000">
        <w:tblPrEx>
          <w:tblCellMar>
            <w:top w:w="0" w:type="dxa"/>
            <w:bottom w:w="0" w:type="dxa"/>
          </w:tblCellMar>
        </w:tblPrEx>
        <w:trPr>
          <w:cantSplit/>
          <w:jc w:val="center"/>
        </w:trPr>
        <w:tc>
          <w:tcPr>
            <w:tcW w:w="144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Somerset</w:t>
            </w:r>
          </w:p>
        </w:tc>
        <w:tc>
          <w:tcPr>
            <w:tcW w:w="1163" w:type="dxa"/>
            <w:tcBorders>
              <w:left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5.96</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1.16</w:t>
            </w:r>
          </w:p>
        </w:tc>
        <w:tc>
          <w:tcPr>
            <w:tcW w:w="1431"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112.52</w:t>
            </w:r>
          </w:p>
        </w:tc>
        <w:tc>
          <w:tcPr>
            <w:tcW w:w="1163" w:type="dxa"/>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107.75</w:t>
            </w:r>
          </w:p>
        </w:tc>
        <w:tc>
          <w:tcPr>
            <w:tcW w:w="1119" w:type="dxa"/>
            <w:tcBorders>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1.40</w:t>
            </w:r>
          </w:p>
        </w:tc>
        <w:tc>
          <w:tcPr>
            <w:tcW w:w="1179"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226</w:t>
            </w:r>
          </w:p>
        </w:tc>
        <w:tc>
          <w:tcPr>
            <w:tcW w:w="1102"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2,079</w:t>
            </w:r>
          </w:p>
        </w:tc>
        <w:tc>
          <w:tcPr>
            <w:tcW w:w="1418"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59,270</w:t>
            </w:r>
          </w:p>
        </w:tc>
        <w:tc>
          <w:tcPr>
            <w:tcW w:w="117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26,731</w:t>
            </w:r>
          </w:p>
        </w:tc>
        <w:tc>
          <w:tcPr>
            <w:tcW w:w="117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511</w:t>
            </w:r>
          </w:p>
        </w:tc>
      </w:tr>
      <w:tr w:rsidR="00000000">
        <w:tblPrEx>
          <w:tblCellMar>
            <w:top w:w="0" w:type="dxa"/>
            <w:bottom w:w="0" w:type="dxa"/>
          </w:tblCellMar>
        </w:tblPrEx>
        <w:trPr>
          <w:cantSplit/>
          <w:jc w:val="center"/>
        </w:trPr>
        <w:tc>
          <w:tcPr>
            <w:tcW w:w="1440" w:type="dxa"/>
            <w:tcBorders>
              <w:left w:val="double" w:sz="4" w:space="0" w:color="auto"/>
              <w:bottom w:val="nil"/>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Sussex</w:t>
            </w:r>
          </w:p>
        </w:tc>
        <w:tc>
          <w:tcPr>
            <w:tcW w:w="1163" w:type="dxa"/>
            <w:tcBorders>
              <w:left w:val="nil"/>
              <w:bottom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0.33</w:t>
            </w:r>
          </w:p>
        </w:tc>
        <w:tc>
          <w:tcPr>
            <w:tcW w:w="1163" w:type="dxa"/>
            <w:tcBorders>
              <w:bottom w:val="nil"/>
            </w:tcBorders>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1.80</w:t>
            </w:r>
          </w:p>
        </w:tc>
        <w:tc>
          <w:tcPr>
            <w:tcW w:w="1431"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42.35</w:t>
            </w:r>
          </w:p>
        </w:tc>
        <w:tc>
          <w:tcPr>
            <w:tcW w:w="1163" w:type="dxa"/>
            <w:tcBorders>
              <w:bottom w:val="nil"/>
            </w:tcBorders>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37.57</w:t>
            </w:r>
          </w:p>
        </w:tc>
        <w:tc>
          <w:tcPr>
            <w:tcW w:w="1119" w:type="dxa"/>
            <w:tcBorders>
              <w:bottom w:val="nil"/>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2.00</w:t>
            </w:r>
          </w:p>
        </w:tc>
        <w:tc>
          <w:tcPr>
            <w:tcW w:w="1179" w:type="dxa"/>
            <w:tcBorders>
              <w:left w:val="nil"/>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83</w:t>
            </w:r>
          </w:p>
        </w:tc>
        <w:tc>
          <w:tcPr>
            <w:tcW w:w="1102"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8,995</w:t>
            </w:r>
          </w:p>
        </w:tc>
        <w:tc>
          <w:tcPr>
            <w:tcW w:w="1418"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23,055</w:t>
            </w:r>
          </w:p>
        </w:tc>
        <w:tc>
          <w:tcPr>
            <w:tcW w:w="1170"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10,883</w:t>
            </w:r>
          </w:p>
        </w:tc>
        <w:tc>
          <w:tcPr>
            <w:tcW w:w="1170" w:type="dxa"/>
            <w:tcBorders>
              <w:bottom w:val="nil"/>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731</w:t>
            </w:r>
          </w:p>
        </w:tc>
      </w:tr>
      <w:tr w:rsidR="00000000">
        <w:tblPrEx>
          <w:tblCellMar>
            <w:top w:w="0" w:type="dxa"/>
            <w:bottom w:w="0" w:type="dxa"/>
          </w:tblCellMar>
        </w:tblPrEx>
        <w:trPr>
          <w:cantSplit/>
          <w:jc w:val="center"/>
        </w:trPr>
        <w:tc>
          <w:tcPr>
            <w:tcW w:w="1440" w:type="dxa"/>
            <w:tcBorders>
              <w:top w:val="single" w:sz="2" w:space="0" w:color="000000"/>
              <w:left w:val="double" w:sz="4" w:space="0" w:color="auto"/>
              <w:bottom w:val="nil"/>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Union</w:t>
            </w:r>
          </w:p>
        </w:tc>
        <w:tc>
          <w:tcPr>
            <w:tcW w:w="1163" w:type="dxa"/>
            <w:tcBorders>
              <w:top w:val="single" w:sz="2" w:space="0" w:color="000000"/>
              <w:left w:val="nil"/>
              <w:bottom w:val="nil"/>
            </w:tcBorders>
          </w:tcPr>
          <w:p w:rsidR="00000000" w:rsidRDefault="00C40079">
            <w:pPr>
              <w:tabs>
                <w:tab w:val="left" w:pos="360"/>
                <w:tab w:val="left" w:pos="720"/>
                <w:tab w:val="left" w:pos="1080"/>
                <w:tab w:val="left" w:pos="1440"/>
                <w:tab w:val="left" w:pos="1800"/>
                <w:tab w:val="left" w:pos="2160"/>
              </w:tabs>
              <w:jc w:val="right"/>
              <w:rPr>
                <w:sz w:val="22"/>
              </w:rPr>
            </w:pPr>
            <w:r>
              <w:rPr>
                <w:sz w:val="22"/>
              </w:rPr>
              <w:t>3.87</w:t>
            </w:r>
          </w:p>
        </w:tc>
        <w:tc>
          <w:tcPr>
            <w:tcW w:w="1163" w:type="dxa"/>
            <w:tcBorders>
              <w:top w:val="single" w:sz="2" w:space="0" w:color="000000"/>
              <w:bottom w:val="nil"/>
            </w:tcBorders>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1.11</w:t>
            </w:r>
          </w:p>
        </w:tc>
        <w:tc>
          <w:tcPr>
            <w:tcW w:w="1431" w:type="dxa"/>
            <w:tcBorders>
              <w:top w:val="single" w:sz="2" w:space="0" w:color="000000"/>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162.44</w:t>
            </w:r>
          </w:p>
        </w:tc>
        <w:tc>
          <w:tcPr>
            <w:tcW w:w="1163" w:type="dxa"/>
            <w:tcBorders>
              <w:top w:val="single" w:sz="2" w:space="0" w:color="000000"/>
              <w:bottom w:val="nil"/>
            </w:tcBorders>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118.31</w:t>
            </w:r>
          </w:p>
        </w:tc>
        <w:tc>
          <w:tcPr>
            <w:tcW w:w="1119" w:type="dxa"/>
            <w:tcBorders>
              <w:top w:val="single" w:sz="2" w:space="0" w:color="000000"/>
              <w:bottom w:val="nil"/>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0.36</w:t>
            </w:r>
          </w:p>
        </w:tc>
        <w:tc>
          <w:tcPr>
            <w:tcW w:w="1179" w:type="dxa"/>
            <w:tcBorders>
              <w:top w:val="single" w:sz="2" w:space="0" w:color="000000"/>
              <w:left w:val="nil"/>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1,012</w:t>
            </w:r>
          </w:p>
        </w:tc>
        <w:tc>
          <w:tcPr>
            <w:tcW w:w="1102" w:type="dxa"/>
            <w:tcBorders>
              <w:top w:val="single" w:sz="2" w:space="0" w:color="000000"/>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794</w:t>
            </w:r>
          </w:p>
        </w:tc>
        <w:tc>
          <w:tcPr>
            <w:tcW w:w="1418" w:type="dxa"/>
            <w:tcBorders>
              <w:top w:val="single" w:sz="2" w:space="0" w:color="000000"/>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84,178</w:t>
            </w:r>
          </w:p>
        </w:tc>
        <w:tc>
          <w:tcPr>
            <w:tcW w:w="1170" w:type="dxa"/>
            <w:tcBorders>
              <w:top w:val="single" w:sz="2" w:space="0" w:color="000000"/>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31,780</w:t>
            </w:r>
          </w:p>
        </w:tc>
        <w:tc>
          <w:tcPr>
            <w:tcW w:w="1170" w:type="dxa"/>
            <w:tcBorders>
              <w:top w:val="single" w:sz="2" w:space="0" w:color="000000"/>
              <w:bottom w:val="nil"/>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133</w:t>
            </w:r>
          </w:p>
        </w:tc>
      </w:tr>
      <w:tr w:rsidR="00000000">
        <w:tblPrEx>
          <w:tblCellMar>
            <w:top w:w="0" w:type="dxa"/>
            <w:bottom w:w="0" w:type="dxa"/>
          </w:tblCellMar>
        </w:tblPrEx>
        <w:trPr>
          <w:cantSplit/>
          <w:jc w:val="center"/>
        </w:trPr>
        <w:tc>
          <w:tcPr>
            <w:tcW w:w="1440" w:type="dxa"/>
            <w:tcBorders>
              <w:top w:val="single" w:sz="2" w:space="0" w:color="000000"/>
              <w:left w:val="double" w:sz="4" w:space="0" w:color="auto"/>
              <w:bottom w:val="single" w:sz="24" w:space="0" w:color="000000"/>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Warren</w:t>
            </w:r>
          </w:p>
        </w:tc>
        <w:tc>
          <w:tcPr>
            <w:tcW w:w="1163" w:type="dxa"/>
            <w:tcBorders>
              <w:top w:val="single" w:sz="2" w:space="0" w:color="000000"/>
              <w:left w:val="nil"/>
              <w:bottom w:val="single" w:sz="24" w:space="0" w:color="000000"/>
            </w:tcBorders>
          </w:tcPr>
          <w:p w:rsidR="00000000" w:rsidRDefault="00C40079">
            <w:pPr>
              <w:tabs>
                <w:tab w:val="left" w:pos="360"/>
                <w:tab w:val="left" w:pos="720"/>
                <w:tab w:val="left" w:pos="1080"/>
                <w:tab w:val="left" w:pos="1440"/>
                <w:tab w:val="left" w:pos="1800"/>
                <w:tab w:val="left" w:pos="2160"/>
              </w:tabs>
              <w:jc w:val="right"/>
              <w:rPr>
                <w:sz w:val="22"/>
              </w:rPr>
            </w:pPr>
            <w:r>
              <w:rPr>
                <w:sz w:val="22"/>
              </w:rPr>
              <w:t>2.12</w:t>
            </w:r>
          </w:p>
        </w:tc>
        <w:tc>
          <w:tcPr>
            <w:tcW w:w="1163" w:type="dxa"/>
            <w:tcBorders>
              <w:top w:val="single" w:sz="2" w:space="0" w:color="000000"/>
              <w:bottom w:val="single" w:sz="24" w:space="0" w:color="000000"/>
            </w:tcBorders>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1.19</w:t>
            </w:r>
          </w:p>
        </w:tc>
        <w:tc>
          <w:tcPr>
            <w:tcW w:w="1431" w:type="dxa"/>
            <w:tcBorders>
              <w:top w:val="single" w:sz="2" w:space="0" w:color="000000"/>
              <w:bottom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56.12</w:t>
            </w:r>
          </w:p>
        </w:tc>
        <w:tc>
          <w:tcPr>
            <w:tcW w:w="1163" w:type="dxa"/>
            <w:tcBorders>
              <w:top w:val="single" w:sz="2" w:space="0" w:color="000000"/>
              <w:bottom w:val="single" w:sz="24" w:space="0" w:color="000000"/>
            </w:tcBorders>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26.89</w:t>
            </w:r>
          </w:p>
        </w:tc>
        <w:tc>
          <w:tcPr>
            <w:tcW w:w="1119" w:type="dxa"/>
            <w:tcBorders>
              <w:top w:val="single" w:sz="2" w:space="0" w:color="000000"/>
              <w:bottom w:val="single" w:sz="24" w:space="0" w:color="000000"/>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1.58</w:t>
            </w:r>
          </w:p>
        </w:tc>
        <w:tc>
          <w:tcPr>
            <w:tcW w:w="1179" w:type="dxa"/>
            <w:tcBorders>
              <w:top w:val="single" w:sz="2" w:space="0" w:color="000000"/>
              <w:left w:val="nil"/>
              <w:bottom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44</w:t>
            </w:r>
            <w:r>
              <w:rPr>
                <w:snapToGrid w:val="0"/>
                <w:color w:val="000000"/>
                <w:sz w:val="22"/>
              </w:rPr>
              <w:t>4</w:t>
            </w:r>
          </w:p>
        </w:tc>
        <w:tc>
          <w:tcPr>
            <w:tcW w:w="1102" w:type="dxa"/>
            <w:tcBorders>
              <w:top w:val="single" w:sz="2" w:space="0" w:color="000000"/>
              <w:bottom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5,306</w:t>
            </w:r>
          </w:p>
        </w:tc>
        <w:tc>
          <w:tcPr>
            <w:tcW w:w="1418" w:type="dxa"/>
            <w:tcBorders>
              <w:top w:val="single" w:sz="2" w:space="0" w:color="000000"/>
              <w:bottom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29,700</w:t>
            </w:r>
          </w:p>
        </w:tc>
        <w:tc>
          <w:tcPr>
            <w:tcW w:w="1170" w:type="dxa"/>
            <w:tcBorders>
              <w:top w:val="single" w:sz="2" w:space="0" w:color="000000"/>
              <w:bottom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7,198</w:t>
            </w:r>
          </w:p>
        </w:tc>
        <w:tc>
          <w:tcPr>
            <w:tcW w:w="1170" w:type="dxa"/>
            <w:tcBorders>
              <w:top w:val="single" w:sz="2" w:space="0" w:color="000000"/>
              <w:bottom w:val="single" w:sz="24" w:space="0" w:color="000000"/>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578</w:t>
            </w:r>
          </w:p>
        </w:tc>
      </w:tr>
      <w:tr w:rsidR="00000000">
        <w:tblPrEx>
          <w:tblCellMar>
            <w:top w:w="0" w:type="dxa"/>
            <w:bottom w:w="0" w:type="dxa"/>
          </w:tblCellMar>
        </w:tblPrEx>
        <w:trPr>
          <w:cantSplit/>
          <w:jc w:val="center"/>
        </w:trPr>
        <w:tc>
          <w:tcPr>
            <w:tcW w:w="1440" w:type="dxa"/>
            <w:tcBorders>
              <w:top w:val="nil"/>
              <w:left w:val="double" w:sz="4" w:space="0" w:color="auto"/>
              <w:bottom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Total in State</w:t>
            </w:r>
          </w:p>
        </w:tc>
        <w:tc>
          <w:tcPr>
            <w:tcW w:w="1163" w:type="dxa"/>
            <w:tcBorders>
              <w:top w:val="nil"/>
              <w:left w:val="nil"/>
              <w:bottom w:val="double" w:sz="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89.35</w:t>
            </w:r>
          </w:p>
        </w:tc>
        <w:tc>
          <w:tcPr>
            <w:tcW w:w="1163" w:type="dxa"/>
            <w:tcBorders>
              <w:top w:val="nil"/>
              <w:bottom w:val="double" w:sz="4" w:space="0" w:color="auto"/>
            </w:tcBorders>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66.45</w:t>
            </w:r>
          </w:p>
        </w:tc>
        <w:tc>
          <w:tcPr>
            <w:tcW w:w="1431" w:type="dxa"/>
            <w:tcBorders>
              <w:top w:val="nil"/>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2,856.37</w:t>
            </w:r>
          </w:p>
        </w:tc>
        <w:tc>
          <w:tcPr>
            <w:tcW w:w="1163" w:type="dxa"/>
            <w:tcBorders>
              <w:top w:val="nil"/>
              <w:bottom w:val="double" w:sz="4" w:space="0" w:color="auto"/>
            </w:tcBorders>
          </w:tcPr>
          <w:p w:rsidR="00000000" w:rsidRDefault="00C40079">
            <w:pPr>
              <w:tabs>
                <w:tab w:val="left" w:pos="360"/>
                <w:tab w:val="left" w:pos="720"/>
                <w:tab w:val="left" w:pos="1080"/>
                <w:tab w:val="left" w:pos="1440"/>
                <w:tab w:val="left" w:pos="1800"/>
                <w:tab w:val="left" w:pos="2160"/>
              </w:tabs>
              <w:jc w:val="right"/>
              <w:rPr>
                <w:snapToGrid w:val="0"/>
                <w:color w:val="000000"/>
                <w:sz w:val="22"/>
              </w:rPr>
            </w:pPr>
            <w:r>
              <w:rPr>
                <w:snapToGrid w:val="0"/>
                <w:color w:val="000000"/>
                <w:sz w:val="22"/>
              </w:rPr>
              <w:t>2,497.80</w:t>
            </w:r>
          </w:p>
        </w:tc>
        <w:tc>
          <w:tcPr>
            <w:tcW w:w="1119" w:type="dxa"/>
            <w:tcBorders>
              <w:top w:val="nil"/>
              <w:bottom w:val="double" w:sz="4" w:space="0" w:color="auto"/>
              <w:right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34.09</w:t>
            </w:r>
          </w:p>
        </w:tc>
        <w:tc>
          <w:tcPr>
            <w:tcW w:w="1179" w:type="dxa"/>
            <w:tcBorders>
              <w:top w:val="nil"/>
              <w:left w:val="nil"/>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13,254</w:t>
            </w:r>
          </w:p>
        </w:tc>
        <w:tc>
          <w:tcPr>
            <w:tcW w:w="1102" w:type="dxa"/>
            <w:tcBorders>
              <w:top w:val="nil"/>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94,067</w:t>
            </w:r>
          </w:p>
        </w:tc>
        <w:tc>
          <w:tcPr>
            <w:tcW w:w="1418" w:type="dxa"/>
            <w:tcBorders>
              <w:top w:val="nil"/>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1,421,004</w:t>
            </w:r>
          </w:p>
        </w:tc>
        <w:tc>
          <w:tcPr>
            <w:tcW w:w="1170" w:type="dxa"/>
            <w:tcBorders>
              <w:top w:val="nil"/>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665,944</w:t>
            </w:r>
          </w:p>
        </w:tc>
        <w:tc>
          <w:tcPr>
            <w:tcW w:w="1170" w:type="dxa"/>
            <w:tcBorders>
              <w:top w:val="nil"/>
              <w:bottom w:val="double" w:sz="4" w:space="0" w:color="auto"/>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12,451</w:t>
            </w:r>
          </w:p>
        </w:tc>
      </w:tr>
    </w:tbl>
    <w:p w:rsidR="00000000" w:rsidRDefault="00C40079">
      <w:pPr>
        <w:pStyle w:val="Heading3"/>
        <w:tabs>
          <w:tab w:val="left" w:pos="720"/>
          <w:tab w:val="left" w:pos="1080"/>
          <w:tab w:val="left" w:pos="1440"/>
          <w:tab w:val="left" w:pos="1800"/>
          <w:tab w:val="left" w:pos="2160"/>
        </w:tabs>
      </w:pPr>
      <w:r>
        <w:br w:type="page"/>
      </w:r>
      <w:r>
        <w:lastRenderedPageBreak/>
        <w:t>Table XIX (cont.) – 2002 Statewide Emission Inventory by County and Source Sector</w:t>
      </w:r>
    </w:p>
    <w:p w:rsidR="00000000" w:rsidRDefault="00C40079">
      <w:pPr>
        <w:pStyle w:val="Level2"/>
        <w:widowControl/>
        <w:tabs>
          <w:tab w:val="left" w:pos="720"/>
          <w:tab w:val="left" w:pos="1080"/>
          <w:tab w:val="left" w:pos="1440"/>
          <w:tab w:val="left" w:pos="1800"/>
          <w:tab w:val="left" w:pos="2160"/>
        </w:tabs>
      </w:pPr>
    </w:p>
    <w:tbl>
      <w:tblPr>
        <w:tblW w:w="0" w:type="auto"/>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AF" w:firstRow="1" w:lastRow="0" w:firstColumn="1" w:lastColumn="0" w:noHBand="0" w:noVBand="0"/>
      </w:tblPr>
      <w:tblGrid>
        <w:gridCol w:w="2880"/>
        <w:gridCol w:w="1080"/>
        <w:gridCol w:w="1080"/>
        <w:gridCol w:w="1080"/>
        <w:gridCol w:w="1080"/>
        <w:gridCol w:w="1080"/>
        <w:gridCol w:w="1080"/>
        <w:gridCol w:w="1080"/>
        <w:gridCol w:w="1080"/>
        <w:gridCol w:w="1080"/>
        <w:gridCol w:w="1080"/>
      </w:tblGrid>
      <w:tr w:rsidR="00000000">
        <w:tblPrEx>
          <w:tblCellMar>
            <w:top w:w="0" w:type="dxa"/>
            <w:bottom w:w="0" w:type="dxa"/>
          </w:tblCellMar>
        </w:tblPrEx>
        <w:trPr>
          <w:cantSplit/>
          <w:jc w:val="center"/>
        </w:trPr>
        <w:tc>
          <w:tcPr>
            <w:tcW w:w="2880" w:type="dxa"/>
            <w:vMerge w:val="restart"/>
            <w:tcBorders>
              <w:top w:val="double" w:sz="4" w:space="0" w:color="auto"/>
              <w:left w:val="double" w:sz="4" w:space="0" w:color="auto"/>
              <w:bottom w:val="nil"/>
              <w:right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p>
          <w:p w:rsidR="00000000" w:rsidRDefault="00C40079">
            <w:pPr>
              <w:tabs>
                <w:tab w:val="left" w:pos="360"/>
                <w:tab w:val="left" w:pos="720"/>
                <w:tab w:val="left" w:pos="1080"/>
                <w:tab w:val="left" w:pos="1440"/>
                <w:tab w:val="left" w:pos="1800"/>
                <w:tab w:val="left" w:pos="2160"/>
              </w:tabs>
              <w:jc w:val="center"/>
              <w:rPr>
                <w:b/>
                <w:sz w:val="22"/>
              </w:rPr>
            </w:pPr>
          </w:p>
          <w:p w:rsidR="00000000" w:rsidRDefault="00C40079">
            <w:pPr>
              <w:tabs>
                <w:tab w:val="left" w:pos="360"/>
                <w:tab w:val="left" w:pos="720"/>
                <w:tab w:val="left" w:pos="1080"/>
                <w:tab w:val="left" w:pos="1440"/>
                <w:tab w:val="left" w:pos="1800"/>
                <w:tab w:val="left" w:pos="2160"/>
              </w:tabs>
              <w:jc w:val="center"/>
              <w:rPr>
                <w:b/>
                <w:sz w:val="22"/>
              </w:rPr>
            </w:pPr>
          </w:p>
          <w:p w:rsidR="00000000" w:rsidRDefault="00C40079">
            <w:pPr>
              <w:tabs>
                <w:tab w:val="left" w:pos="360"/>
                <w:tab w:val="left" w:pos="720"/>
                <w:tab w:val="left" w:pos="1080"/>
                <w:tab w:val="left" w:pos="1440"/>
                <w:tab w:val="left" w:pos="1800"/>
                <w:tab w:val="left" w:pos="2160"/>
              </w:tabs>
              <w:jc w:val="center"/>
              <w:rPr>
                <w:b/>
                <w:sz w:val="22"/>
              </w:rPr>
            </w:pPr>
            <w:r>
              <w:rPr>
                <w:b/>
                <w:sz w:val="22"/>
              </w:rPr>
              <w:t>County</w:t>
            </w:r>
          </w:p>
        </w:tc>
        <w:tc>
          <w:tcPr>
            <w:tcW w:w="5400" w:type="dxa"/>
            <w:gridSpan w:val="5"/>
            <w:tcBorders>
              <w:top w:val="double" w:sz="4" w:space="0" w:color="auto"/>
              <w:left w:val="nil"/>
              <w:bottom w:val="nil"/>
              <w:right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PM</w:t>
            </w:r>
            <w:r>
              <w:rPr>
                <w:b/>
                <w:sz w:val="22"/>
                <w:vertAlign w:val="subscript"/>
              </w:rPr>
              <w:t>10</w:t>
            </w:r>
            <w:r>
              <w:rPr>
                <w:b/>
                <w:sz w:val="22"/>
                <w:vertAlign w:val="superscript"/>
              </w:rPr>
              <w:t>(1)</w:t>
            </w:r>
          </w:p>
          <w:p w:rsidR="00000000" w:rsidRDefault="00C40079">
            <w:pPr>
              <w:tabs>
                <w:tab w:val="left" w:pos="360"/>
                <w:tab w:val="left" w:pos="720"/>
                <w:tab w:val="left" w:pos="1080"/>
                <w:tab w:val="left" w:pos="1440"/>
                <w:tab w:val="left" w:pos="1800"/>
                <w:tab w:val="left" w:pos="2160"/>
              </w:tabs>
              <w:jc w:val="center"/>
              <w:rPr>
                <w:b/>
                <w:sz w:val="22"/>
              </w:rPr>
            </w:pPr>
            <w:r>
              <w:rPr>
                <w:b/>
                <w:sz w:val="22"/>
              </w:rPr>
              <w:t>Tons per Year</w:t>
            </w:r>
          </w:p>
        </w:tc>
        <w:tc>
          <w:tcPr>
            <w:tcW w:w="5400" w:type="dxa"/>
            <w:gridSpan w:val="5"/>
            <w:tcBorders>
              <w:top w:val="double" w:sz="4" w:space="0" w:color="auto"/>
              <w:left w:val="nil"/>
              <w:bottom w:val="nil"/>
              <w:right w:val="double" w:sz="4" w:space="0" w:color="auto"/>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PM</w:t>
            </w:r>
            <w:r>
              <w:rPr>
                <w:b/>
                <w:sz w:val="22"/>
                <w:vertAlign w:val="subscript"/>
              </w:rPr>
              <w:t>2.5</w:t>
            </w:r>
            <w:r>
              <w:rPr>
                <w:b/>
                <w:sz w:val="22"/>
                <w:vertAlign w:val="superscript"/>
              </w:rPr>
              <w:t>(1)</w:t>
            </w:r>
          </w:p>
          <w:p w:rsidR="00000000" w:rsidRDefault="00C40079">
            <w:pPr>
              <w:tabs>
                <w:tab w:val="left" w:pos="360"/>
                <w:tab w:val="left" w:pos="720"/>
                <w:tab w:val="left" w:pos="1080"/>
                <w:tab w:val="left" w:pos="1440"/>
                <w:tab w:val="left" w:pos="1800"/>
                <w:tab w:val="left" w:pos="2160"/>
              </w:tabs>
              <w:jc w:val="center"/>
              <w:rPr>
                <w:sz w:val="22"/>
              </w:rPr>
            </w:pPr>
            <w:r>
              <w:rPr>
                <w:b/>
                <w:sz w:val="22"/>
              </w:rPr>
              <w:t>Tons per Year</w:t>
            </w:r>
          </w:p>
        </w:tc>
      </w:tr>
      <w:tr w:rsidR="00000000">
        <w:tblPrEx>
          <w:tblCellMar>
            <w:top w:w="0" w:type="dxa"/>
            <w:bottom w:w="0" w:type="dxa"/>
          </w:tblCellMar>
        </w:tblPrEx>
        <w:trPr>
          <w:cantSplit/>
          <w:jc w:val="center"/>
        </w:trPr>
        <w:tc>
          <w:tcPr>
            <w:tcW w:w="2880" w:type="dxa"/>
            <w:vMerge/>
            <w:tcBorders>
              <w:top w:val="nil"/>
              <w:left w:val="double" w:sz="4" w:space="0" w:color="auto"/>
              <w:bottom w:val="single" w:sz="24" w:space="0" w:color="000000"/>
              <w:right w:val="single" w:sz="24" w:space="0" w:color="000000"/>
            </w:tcBorders>
          </w:tcPr>
          <w:p w:rsidR="00000000" w:rsidRDefault="00C40079">
            <w:pPr>
              <w:tabs>
                <w:tab w:val="left" w:pos="360"/>
                <w:tab w:val="left" w:pos="720"/>
                <w:tab w:val="left" w:pos="1080"/>
                <w:tab w:val="left" w:pos="1440"/>
                <w:tab w:val="left" w:pos="1800"/>
                <w:tab w:val="left" w:pos="2160"/>
              </w:tabs>
              <w:jc w:val="center"/>
              <w:rPr>
                <w:sz w:val="22"/>
              </w:rPr>
            </w:pPr>
          </w:p>
        </w:tc>
        <w:tc>
          <w:tcPr>
            <w:tcW w:w="1080" w:type="dxa"/>
            <w:tcBorders>
              <w:top w:val="single" w:sz="12" w:space="0" w:color="000000"/>
              <w:left w:val="nil"/>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Point Sources</w:t>
            </w:r>
          </w:p>
        </w:tc>
        <w:tc>
          <w:tcPr>
            <w:tcW w:w="1080" w:type="dxa"/>
            <w:tcBorders>
              <w:top w:val="single" w:sz="12" w:space="0" w:color="000000"/>
              <w:left w:val="nil"/>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Area Sources</w:t>
            </w:r>
          </w:p>
        </w:tc>
        <w:tc>
          <w:tcPr>
            <w:tcW w:w="1080" w:type="dxa"/>
            <w:tcBorders>
              <w:top w:val="single" w:sz="12" w:space="0" w:color="000000"/>
              <w:left w:val="nil"/>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Onroad Sources</w:t>
            </w:r>
          </w:p>
        </w:tc>
        <w:tc>
          <w:tcPr>
            <w:tcW w:w="1080" w:type="dxa"/>
            <w:tcBorders>
              <w:top w:val="single" w:sz="12" w:space="0" w:color="000000"/>
              <w:left w:val="nil"/>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Nonroad Sources</w:t>
            </w:r>
          </w:p>
        </w:tc>
        <w:tc>
          <w:tcPr>
            <w:tcW w:w="1080" w:type="dxa"/>
            <w:tcBorders>
              <w:top w:val="single" w:sz="12" w:space="0" w:color="000000"/>
              <w:left w:val="nil"/>
              <w:bottom w:val="single" w:sz="24" w:space="0" w:color="000000"/>
              <w:right w:val="single" w:sz="24" w:space="0" w:color="auto"/>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Biogenic</w:t>
            </w:r>
          </w:p>
        </w:tc>
        <w:tc>
          <w:tcPr>
            <w:tcW w:w="1080" w:type="dxa"/>
            <w:tcBorders>
              <w:top w:val="single" w:sz="12" w:space="0" w:color="000000"/>
              <w:left w:val="nil"/>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Point Sources</w:t>
            </w:r>
          </w:p>
        </w:tc>
        <w:tc>
          <w:tcPr>
            <w:tcW w:w="1080" w:type="dxa"/>
            <w:tcBorders>
              <w:top w:val="single" w:sz="12" w:space="0" w:color="000000"/>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Area Sources</w:t>
            </w:r>
          </w:p>
        </w:tc>
        <w:tc>
          <w:tcPr>
            <w:tcW w:w="1080" w:type="dxa"/>
            <w:tcBorders>
              <w:top w:val="single" w:sz="12" w:space="0" w:color="000000"/>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Onroad Sources</w:t>
            </w:r>
          </w:p>
        </w:tc>
        <w:tc>
          <w:tcPr>
            <w:tcW w:w="1080" w:type="dxa"/>
            <w:tcBorders>
              <w:top w:val="single" w:sz="12" w:space="0" w:color="000000"/>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Nonroad Sources</w:t>
            </w:r>
          </w:p>
        </w:tc>
        <w:tc>
          <w:tcPr>
            <w:tcW w:w="1080" w:type="dxa"/>
            <w:tcBorders>
              <w:top w:val="single" w:sz="12" w:space="0" w:color="000000"/>
              <w:bottom w:val="single" w:sz="24" w:space="0" w:color="000000"/>
              <w:right w:val="double" w:sz="4" w:space="0" w:color="auto"/>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Biogenic</w:t>
            </w:r>
          </w:p>
        </w:tc>
      </w:tr>
      <w:tr w:rsidR="00000000">
        <w:tblPrEx>
          <w:tblCellMar>
            <w:top w:w="0" w:type="dxa"/>
            <w:bottom w:w="0" w:type="dxa"/>
          </w:tblCellMar>
        </w:tblPrEx>
        <w:trPr>
          <w:cantSplit/>
          <w:jc w:val="center"/>
        </w:trPr>
        <w:tc>
          <w:tcPr>
            <w:tcW w:w="2880" w:type="dxa"/>
            <w:tcBorders>
              <w:top w:val="nil"/>
              <w:left w:val="double" w:sz="4" w:space="0" w:color="auto"/>
              <w:right w:val="single" w:sz="24" w:space="0" w:color="000000"/>
            </w:tcBorders>
          </w:tcPr>
          <w:p w:rsidR="00000000" w:rsidRDefault="00C40079">
            <w:pPr>
              <w:pStyle w:val="FootnoteText"/>
              <w:tabs>
                <w:tab w:val="left" w:pos="360"/>
                <w:tab w:val="left" w:pos="720"/>
                <w:tab w:val="left" w:pos="1080"/>
                <w:tab w:val="left" w:pos="1440"/>
                <w:tab w:val="left" w:pos="1800"/>
                <w:tab w:val="left" w:pos="2160"/>
              </w:tabs>
              <w:rPr>
                <w:rFonts w:ascii="Times New Roman" w:hAnsi="Times New Roman"/>
                <w:sz w:val="22"/>
              </w:rPr>
            </w:pPr>
            <w:r>
              <w:rPr>
                <w:rFonts w:ascii="Times New Roman" w:hAnsi="Times New Roman"/>
                <w:sz w:val="22"/>
              </w:rPr>
              <w:t xml:space="preserve">Atlantic </w:t>
            </w:r>
          </w:p>
        </w:tc>
        <w:tc>
          <w:tcPr>
            <w:tcW w:w="1080" w:type="dxa"/>
            <w:tcBorders>
              <w:top w:val="nil"/>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17</w:t>
            </w:r>
          </w:p>
        </w:tc>
        <w:tc>
          <w:tcPr>
            <w:tcW w:w="1080" w:type="dxa"/>
            <w:tcBorders>
              <w:top w:val="nil"/>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1,863</w:t>
            </w:r>
          </w:p>
        </w:tc>
        <w:tc>
          <w:tcPr>
            <w:tcW w:w="1080" w:type="dxa"/>
            <w:tcBorders>
              <w:top w:val="nil"/>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154</w:t>
            </w:r>
          </w:p>
        </w:tc>
        <w:tc>
          <w:tcPr>
            <w:tcW w:w="1080" w:type="dxa"/>
            <w:tcBorders>
              <w:top w:val="nil"/>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248</w:t>
            </w:r>
          </w:p>
        </w:tc>
        <w:tc>
          <w:tcPr>
            <w:tcW w:w="1080" w:type="dxa"/>
            <w:tcBorders>
              <w:top w:val="nil"/>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top w:val="nil"/>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19</w:t>
            </w:r>
          </w:p>
        </w:tc>
        <w:tc>
          <w:tcPr>
            <w:tcW w:w="1080" w:type="dxa"/>
            <w:tcBorders>
              <w:top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1,541</w:t>
            </w:r>
          </w:p>
        </w:tc>
        <w:tc>
          <w:tcPr>
            <w:tcW w:w="1080" w:type="dxa"/>
            <w:tcBorders>
              <w:top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104</w:t>
            </w:r>
          </w:p>
        </w:tc>
        <w:tc>
          <w:tcPr>
            <w:tcW w:w="1080" w:type="dxa"/>
            <w:tcBorders>
              <w:top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225</w:t>
            </w:r>
          </w:p>
        </w:tc>
        <w:tc>
          <w:tcPr>
            <w:tcW w:w="1080" w:type="dxa"/>
            <w:tcBorders>
              <w:top w:val="nil"/>
              <w:right w:val="double" w:sz="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 xml:space="preserve">Bergen </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135</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981</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524</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524</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149</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537</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376</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478</w:t>
            </w:r>
          </w:p>
        </w:tc>
        <w:tc>
          <w:tcPr>
            <w:tcW w:w="1080" w:type="dxa"/>
            <w:tcBorders>
              <w:right w:val="double" w:sz="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 xml:space="preserve">Burlington </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318</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2,145</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275</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471</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308</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1,448</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193</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413</w:t>
            </w:r>
          </w:p>
        </w:tc>
        <w:tc>
          <w:tcPr>
            <w:tcW w:w="1080" w:type="dxa"/>
            <w:tcBorders>
              <w:right w:val="double" w:sz="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Camden</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126</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1,210</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238</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249</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233</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754</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167</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228</w:t>
            </w:r>
          </w:p>
        </w:tc>
        <w:tc>
          <w:tcPr>
            <w:tcW w:w="1080" w:type="dxa"/>
            <w:tcBorders>
              <w:right w:val="double" w:sz="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Cape May</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102</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799</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58</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509</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109</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637</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40</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468</w:t>
            </w:r>
          </w:p>
        </w:tc>
        <w:tc>
          <w:tcPr>
            <w:tcW w:w="1080" w:type="dxa"/>
            <w:tcBorders>
              <w:right w:val="double" w:sz="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Cumberland</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266</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721</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73</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407</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280</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495</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52</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374</w:t>
            </w:r>
          </w:p>
        </w:tc>
        <w:tc>
          <w:tcPr>
            <w:tcW w:w="1080" w:type="dxa"/>
            <w:tcBorders>
              <w:right w:val="double" w:sz="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Essex</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203</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646</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389</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444</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185</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411</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291</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393</w:t>
            </w:r>
          </w:p>
        </w:tc>
        <w:tc>
          <w:tcPr>
            <w:tcW w:w="1080" w:type="dxa"/>
            <w:tcBorders>
              <w:right w:val="double" w:sz="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Gloucester</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531</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1,169</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161</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242</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426</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754</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112</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222</w:t>
            </w:r>
          </w:p>
        </w:tc>
        <w:tc>
          <w:tcPr>
            <w:tcW w:w="1080" w:type="dxa"/>
            <w:tcBorders>
              <w:right w:val="double" w:sz="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Hudson</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1,705</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431</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179</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375</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1,077</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269</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134</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345</w:t>
            </w:r>
          </w:p>
        </w:tc>
        <w:tc>
          <w:tcPr>
            <w:tcW w:w="1080" w:type="dxa"/>
            <w:tcBorders>
              <w:right w:val="double" w:sz="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Hunterdon</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50</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1,115</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148</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113</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50</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644</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111</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103</w:t>
            </w:r>
          </w:p>
        </w:tc>
        <w:tc>
          <w:tcPr>
            <w:tcW w:w="1080" w:type="dxa"/>
            <w:tcBorders>
              <w:right w:val="double" w:sz="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Mercer</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221</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967</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201</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224</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188</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530</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141</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203</w:t>
            </w:r>
          </w:p>
        </w:tc>
        <w:tc>
          <w:tcPr>
            <w:tcW w:w="1080" w:type="dxa"/>
            <w:tcBorders>
              <w:right w:val="double" w:sz="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Middlesex</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537</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1,162</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486</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376</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483</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467</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347</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346</w:t>
            </w:r>
          </w:p>
        </w:tc>
        <w:tc>
          <w:tcPr>
            <w:tcW w:w="1080" w:type="dxa"/>
            <w:tcBorders>
              <w:right w:val="double" w:sz="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Monmouth</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48</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1,575</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352</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545</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55</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981</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244</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501</w:t>
            </w:r>
          </w:p>
        </w:tc>
        <w:tc>
          <w:tcPr>
            <w:tcW w:w="1080" w:type="dxa"/>
            <w:tcBorders>
              <w:right w:val="double" w:sz="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Morris</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46</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1,813</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305</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309</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39</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1,284</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209</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280</w:t>
            </w:r>
          </w:p>
        </w:tc>
        <w:tc>
          <w:tcPr>
            <w:tcW w:w="1080" w:type="dxa"/>
            <w:tcBorders>
              <w:right w:val="double" w:sz="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Ocean</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39</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2,377</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229</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446</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38</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1,734</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160</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409</w:t>
            </w:r>
          </w:p>
        </w:tc>
        <w:tc>
          <w:tcPr>
            <w:tcW w:w="1080" w:type="dxa"/>
            <w:tcBorders>
              <w:right w:val="double" w:sz="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Passaic</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18</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835</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195</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194</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19</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543</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141</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178</w:t>
            </w:r>
          </w:p>
        </w:tc>
        <w:tc>
          <w:tcPr>
            <w:tcW w:w="1080" w:type="dxa"/>
            <w:tcBorders>
              <w:right w:val="double" w:sz="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Salem</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435</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590</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77</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132</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371</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377</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57</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122</w:t>
            </w:r>
          </w:p>
        </w:tc>
        <w:tc>
          <w:tcPr>
            <w:tcW w:w="1080" w:type="dxa"/>
            <w:tcBorders>
              <w:right w:val="double" w:sz="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Somerset</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76</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984</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211</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164</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55</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441</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152</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149</w:t>
            </w:r>
          </w:p>
        </w:tc>
        <w:tc>
          <w:tcPr>
            <w:tcW w:w="1080" w:type="dxa"/>
            <w:tcBorders>
              <w:right w:val="double" w:sz="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r>
      <w:tr w:rsidR="00000000">
        <w:tblPrEx>
          <w:tblCellMar>
            <w:top w:w="0" w:type="dxa"/>
            <w:bottom w:w="0" w:type="dxa"/>
          </w:tblCellMar>
        </w:tblPrEx>
        <w:trPr>
          <w:cantSplit/>
          <w:jc w:val="center"/>
        </w:trPr>
        <w:tc>
          <w:tcPr>
            <w:tcW w:w="2880" w:type="dxa"/>
            <w:tcBorders>
              <w:left w:val="double" w:sz="4" w:space="0" w:color="auto"/>
              <w:bottom w:val="nil"/>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Sussex</w:t>
            </w:r>
          </w:p>
        </w:tc>
        <w:tc>
          <w:tcPr>
            <w:tcW w:w="1080" w:type="dxa"/>
            <w:tcBorders>
              <w:left w:val="nil"/>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w:t>
            </w:r>
          </w:p>
        </w:tc>
        <w:tc>
          <w:tcPr>
            <w:tcW w:w="1080" w:type="dxa"/>
            <w:tcBorders>
              <w:left w:val="nil"/>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1,667</w:t>
            </w:r>
          </w:p>
        </w:tc>
        <w:tc>
          <w:tcPr>
            <w:tcW w:w="1080" w:type="dxa"/>
            <w:tcBorders>
              <w:left w:val="nil"/>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77</w:t>
            </w:r>
          </w:p>
        </w:tc>
        <w:tc>
          <w:tcPr>
            <w:tcW w:w="1080" w:type="dxa"/>
            <w:tcBorders>
              <w:left w:val="nil"/>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99</w:t>
            </w:r>
          </w:p>
        </w:tc>
        <w:tc>
          <w:tcPr>
            <w:tcW w:w="1080" w:type="dxa"/>
            <w:tcBorders>
              <w:left w:val="nil"/>
              <w:bottom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w:t>
            </w:r>
            <w:r>
              <w:rPr>
                <w:sz w:val="22"/>
              </w:rPr>
              <w:t>A</w:t>
            </w:r>
          </w:p>
        </w:tc>
        <w:tc>
          <w:tcPr>
            <w:tcW w:w="1080" w:type="dxa"/>
            <w:tcBorders>
              <w:left w:val="nil"/>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w:t>
            </w:r>
          </w:p>
        </w:tc>
        <w:tc>
          <w:tcPr>
            <w:tcW w:w="1080"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1,301</w:t>
            </w:r>
          </w:p>
        </w:tc>
        <w:tc>
          <w:tcPr>
            <w:tcW w:w="1080"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54</w:t>
            </w:r>
          </w:p>
        </w:tc>
        <w:tc>
          <w:tcPr>
            <w:tcW w:w="1080"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89</w:t>
            </w:r>
          </w:p>
        </w:tc>
        <w:tc>
          <w:tcPr>
            <w:tcW w:w="1080" w:type="dxa"/>
            <w:tcBorders>
              <w:bottom w:val="nil"/>
              <w:right w:val="double" w:sz="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r>
      <w:tr w:rsidR="00000000">
        <w:tblPrEx>
          <w:tblCellMar>
            <w:top w:w="0" w:type="dxa"/>
            <w:bottom w:w="0" w:type="dxa"/>
          </w:tblCellMar>
        </w:tblPrEx>
        <w:trPr>
          <w:cantSplit/>
          <w:jc w:val="center"/>
        </w:trPr>
        <w:tc>
          <w:tcPr>
            <w:tcW w:w="2880" w:type="dxa"/>
            <w:tcBorders>
              <w:top w:val="single" w:sz="2" w:space="0" w:color="000000"/>
              <w:left w:val="double" w:sz="4" w:space="0" w:color="auto"/>
              <w:bottom w:val="nil"/>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Union</w:t>
            </w:r>
          </w:p>
        </w:tc>
        <w:tc>
          <w:tcPr>
            <w:tcW w:w="1080" w:type="dxa"/>
            <w:tcBorders>
              <w:top w:val="single" w:sz="2" w:space="0" w:color="000000"/>
              <w:left w:val="nil"/>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434</w:t>
            </w:r>
          </w:p>
        </w:tc>
        <w:tc>
          <w:tcPr>
            <w:tcW w:w="1080" w:type="dxa"/>
            <w:tcBorders>
              <w:top w:val="single" w:sz="2" w:space="0" w:color="000000"/>
              <w:left w:val="nil"/>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512</w:t>
            </w:r>
          </w:p>
        </w:tc>
        <w:tc>
          <w:tcPr>
            <w:tcW w:w="1080" w:type="dxa"/>
            <w:tcBorders>
              <w:top w:val="single" w:sz="2" w:space="0" w:color="000000"/>
              <w:left w:val="nil"/>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261</w:t>
            </w:r>
          </w:p>
        </w:tc>
        <w:tc>
          <w:tcPr>
            <w:tcW w:w="1080" w:type="dxa"/>
            <w:tcBorders>
              <w:top w:val="single" w:sz="2" w:space="0" w:color="000000"/>
              <w:left w:val="nil"/>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362</w:t>
            </w:r>
          </w:p>
        </w:tc>
        <w:tc>
          <w:tcPr>
            <w:tcW w:w="1080" w:type="dxa"/>
            <w:tcBorders>
              <w:top w:val="single" w:sz="2" w:space="0" w:color="000000"/>
              <w:left w:val="nil"/>
              <w:bottom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top w:val="single" w:sz="2" w:space="0" w:color="000000"/>
              <w:left w:val="nil"/>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540</w:t>
            </w:r>
          </w:p>
        </w:tc>
        <w:tc>
          <w:tcPr>
            <w:tcW w:w="1080" w:type="dxa"/>
            <w:tcBorders>
              <w:top w:val="single" w:sz="2" w:space="0" w:color="000000"/>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272</w:t>
            </w:r>
          </w:p>
        </w:tc>
        <w:tc>
          <w:tcPr>
            <w:tcW w:w="1080" w:type="dxa"/>
            <w:tcBorders>
              <w:top w:val="single" w:sz="2" w:space="0" w:color="000000"/>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185</w:t>
            </w:r>
          </w:p>
        </w:tc>
        <w:tc>
          <w:tcPr>
            <w:tcW w:w="1080" w:type="dxa"/>
            <w:tcBorders>
              <w:top w:val="single" w:sz="2" w:space="0" w:color="000000"/>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333</w:t>
            </w:r>
          </w:p>
        </w:tc>
        <w:tc>
          <w:tcPr>
            <w:tcW w:w="1080" w:type="dxa"/>
            <w:tcBorders>
              <w:top w:val="single" w:sz="2" w:space="0" w:color="000000"/>
              <w:bottom w:val="nil"/>
              <w:right w:val="double" w:sz="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r>
      <w:tr w:rsidR="00000000">
        <w:tblPrEx>
          <w:tblCellMar>
            <w:top w:w="0" w:type="dxa"/>
            <w:bottom w:w="0" w:type="dxa"/>
          </w:tblCellMar>
        </w:tblPrEx>
        <w:trPr>
          <w:cantSplit/>
          <w:jc w:val="center"/>
        </w:trPr>
        <w:tc>
          <w:tcPr>
            <w:tcW w:w="2880" w:type="dxa"/>
            <w:tcBorders>
              <w:top w:val="single" w:sz="2" w:space="0" w:color="000000"/>
              <w:left w:val="double" w:sz="4" w:space="0" w:color="auto"/>
              <w:bottom w:val="single" w:sz="24" w:space="0" w:color="000000"/>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Warren</w:t>
            </w:r>
          </w:p>
        </w:tc>
        <w:tc>
          <w:tcPr>
            <w:tcW w:w="1080" w:type="dxa"/>
            <w:tcBorders>
              <w:top w:val="single" w:sz="2" w:space="0" w:color="000000"/>
              <w:left w:val="nil"/>
              <w:bottom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240</w:t>
            </w:r>
          </w:p>
        </w:tc>
        <w:tc>
          <w:tcPr>
            <w:tcW w:w="1080" w:type="dxa"/>
            <w:tcBorders>
              <w:top w:val="single" w:sz="2" w:space="0" w:color="000000"/>
              <w:left w:val="nil"/>
              <w:bottom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1,195</w:t>
            </w:r>
          </w:p>
        </w:tc>
        <w:tc>
          <w:tcPr>
            <w:tcW w:w="1080" w:type="dxa"/>
            <w:tcBorders>
              <w:top w:val="single" w:sz="2" w:space="0" w:color="000000"/>
              <w:left w:val="nil"/>
              <w:bottom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123</w:t>
            </w:r>
          </w:p>
        </w:tc>
        <w:tc>
          <w:tcPr>
            <w:tcW w:w="1080" w:type="dxa"/>
            <w:tcBorders>
              <w:top w:val="single" w:sz="2" w:space="0" w:color="000000"/>
              <w:left w:val="nil"/>
              <w:bottom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71</w:t>
            </w:r>
          </w:p>
        </w:tc>
        <w:tc>
          <w:tcPr>
            <w:tcW w:w="1080" w:type="dxa"/>
            <w:tcBorders>
              <w:top w:val="single" w:sz="2" w:space="0" w:color="000000"/>
              <w:left w:val="nil"/>
              <w:bottom w:val="single" w:sz="24" w:space="0" w:color="000000"/>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top w:val="single" w:sz="2" w:space="0" w:color="000000"/>
              <w:left w:val="nil"/>
              <w:bottom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240</w:t>
            </w:r>
          </w:p>
        </w:tc>
        <w:tc>
          <w:tcPr>
            <w:tcW w:w="1080" w:type="dxa"/>
            <w:tcBorders>
              <w:top w:val="single" w:sz="2" w:space="0" w:color="000000"/>
              <w:bottom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809</w:t>
            </w:r>
          </w:p>
        </w:tc>
        <w:tc>
          <w:tcPr>
            <w:tcW w:w="1080" w:type="dxa"/>
            <w:tcBorders>
              <w:top w:val="single" w:sz="2" w:space="0" w:color="000000"/>
              <w:bottom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92</w:t>
            </w:r>
          </w:p>
        </w:tc>
        <w:tc>
          <w:tcPr>
            <w:tcW w:w="1080" w:type="dxa"/>
            <w:tcBorders>
              <w:top w:val="single" w:sz="2" w:space="0" w:color="000000"/>
              <w:bottom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64</w:t>
            </w:r>
          </w:p>
        </w:tc>
        <w:tc>
          <w:tcPr>
            <w:tcW w:w="1080" w:type="dxa"/>
            <w:tcBorders>
              <w:top w:val="single" w:sz="2" w:space="0" w:color="000000"/>
              <w:bottom w:val="single" w:sz="24" w:space="0" w:color="000000"/>
              <w:right w:val="double" w:sz="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r>
      <w:tr w:rsidR="00000000">
        <w:tblPrEx>
          <w:tblCellMar>
            <w:top w:w="0" w:type="dxa"/>
            <w:bottom w:w="0" w:type="dxa"/>
          </w:tblCellMar>
        </w:tblPrEx>
        <w:trPr>
          <w:cantSplit/>
          <w:jc w:val="center"/>
        </w:trPr>
        <w:tc>
          <w:tcPr>
            <w:tcW w:w="2880" w:type="dxa"/>
            <w:tcBorders>
              <w:top w:val="nil"/>
              <w:left w:val="double" w:sz="4" w:space="0" w:color="auto"/>
              <w:bottom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Total in State</w:t>
            </w:r>
          </w:p>
        </w:tc>
        <w:tc>
          <w:tcPr>
            <w:tcW w:w="1080" w:type="dxa"/>
            <w:tcBorders>
              <w:top w:val="nil"/>
              <w:left w:val="nil"/>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5,555</w:t>
            </w:r>
          </w:p>
        </w:tc>
        <w:tc>
          <w:tcPr>
            <w:tcW w:w="1080" w:type="dxa"/>
            <w:tcBorders>
              <w:top w:val="nil"/>
              <w:left w:val="nil"/>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24,760</w:t>
            </w:r>
          </w:p>
        </w:tc>
        <w:tc>
          <w:tcPr>
            <w:tcW w:w="1080" w:type="dxa"/>
            <w:tcBorders>
              <w:top w:val="nil"/>
              <w:left w:val="nil"/>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4,718</w:t>
            </w:r>
          </w:p>
        </w:tc>
        <w:tc>
          <w:tcPr>
            <w:tcW w:w="1080" w:type="dxa"/>
            <w:tcBorders>
              <w:top w:val="nil"/>
              <w:left w:val="nil"/>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6,505</w:t>
            </w:r>
          </w:p>
        </w:tc>
        <w:tc>
          <w:tcPr>
            <w:tcW w:w="1080" w:type="dxa"/>
            <w:tcBorders>
              <w:top w:val="nil"/>
              <w:left w:val="nil"/>
              <w:bottom w:val="double" w:sz="4" w:space="0" w:color="auto"/>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top w:val="nil"/>
              <w:left w:val="nil"/>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4,868</w:t>
            </w:r>
          </w:p>
        </w:tc>
        <w:tc>
          <w:tcPr>
            <w:tcW w:w="1080" w:type="dxa"/>
            <w:tcBorders>
              <w:top w:val="nil"/>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16,230</w:t>
            </w:r>
          </w:p>
        </w:tc>
        <w:tc>
          <w:tcPr>
            <w:tcW w:w="1080" w:type="dxa"/>
            <w:tcBorders>
              <w:top w:val="nil"/>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3,361</w:t>
            </w:r>
          </w:p>
        </w:tc>
        <w:tc>
          <w:tcPr>
            <w:tcW w:w="1080" w:type="dxa"/>
            <w:tcBorders>
              <w:top w:val="nil"/>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5,922</w:t>
            </w:r>
          </w:p>
        </w:tc>
        <w:tc>
          <w:tcPr>
            <w:tcW w:w="1080" w:type="dxa"/>
            <w:tcBorders>
              <w:top w:val="nil"/>
              <w:bottom w:val="double" w:sz="4" w:space="0" w:color="auto"/>
              <w:right w:val="double" w:sz="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r>
    </w:tbl>
    <w:p w:rsidR="00000000" w:rsidRDefault="00C40079">
      <w:pPr>
        <w:pStyle w:val="Level2"/>
        <w:widowControl/>
        <w:tabs>
          <w:tab w:val="left" w:pos="720"/>
          <w:tab w:val="left" w:pos="1080"/>
          <w:tab w:val="left" w:pos="1440"/>
          <w:tab w:val="left" w:pos="1800"/>
          <w:tab w:val="left" w:pos="2160"/>
        </w:tabs>
        <w:rPr>
          <w:sz w:val="22"/>
        </w:rPr>
      </w:pPr>
      <w:r>
        <w:rPr>
          <w:sz w:val="22"/>
        </w:rPr>
        <w:t>NOTES:</w:t>
      </w:r>
    </w:p>
    <w:p w:rsidR="00000000" w:rsidRDefault="00C40079">
      <w:pPr>
        <w:pStyle w:val="Level2"/>
        <w:widowControl/>
        <w:numPr>
          <w:ilvl w:val="0"/>
          <w:numId w:val="54"/>
        </w:numPr>
        <w:tabs>
          <w:tab w:val="left" w:pos="720"/>
          <w:tab w:val="left" w:pos="1080"/>
          <w:tab w:val="left" w:pos="1440"/>
          <w:tab w:val="left" w:pos="1800"/>
          <w:tab w:val="left" w:pos="2160"/>
        </w:tabs>
      </w:pPr>
      <w:r>
        <w:rPr>
          <w:sz w:val="22"/>
        </w:rPr>
        <w:t>These totals include adjusted emissions from fugitive dust categori</w:t>
      </w:r>
      <w:r>
        <w:rPr>
          <w:sz w:val="22"/>
        </w:rPr>
        <w:t>es. See Attachment 2 of this report for further discussion.</w:t>
      </w:r>
    </w:p>
    <w:p w:rsidR="00000000" w:rsidRDefault="00C40079">
      <w:pPr>
        <w:pStyle w:val="Heading3"/>
        <w:tabs>
          <w:tab w:val="left" w:pos="720"/>
          <w:tab w:val="left" w:pos="1080"/>
          <w:tab w:val="left" w:pos="1440"/>
          <w:tab w:val="left" w:pos="1800"/>
          <w:tab w:val="left" w:pos="2160"/>
        </w:tabs>
      </w:pPr>
      <w:r>
        <w:br w:type="page"/>
      </w:r>
      <w:r>
        <w:lastRenderedPageBreak/>
        <w:t>Table XIX (cont.) – 2002 Statewide Emission Inventory by County and Source Sector</w:t>
      </w:r>
    </w:p>
    <w:p w:rsidR="00000000" w:rsidRDefault="00C40079">
      <w:pPr>
        <w:pStyle w:val="Level2"/>
        <w:widowControl/>
        <w:tabs>
          <w:tab w:val="left" w:pos="720"/>
          <w:tab w:val="left" w:pos="1080"/>
          <w:tab w:val="left" w:pos="1440"/>
          <w:tab w:val="left" w:pos="1800"/>
          <w:tab w:val="left" w:pos="2160"/>
        </w:tabs>
      </w:pPr>
    </w:p>
    <w:p w:rsidR="00000000" w:rsidRDefault="00C40079">
      <w:pPr>
        <w:tabs>
          <w:tab w:val="left" w:pos="720"/>
          <w:tab w:val="left" w:pos="1080"/>
          <w:tab w:val="left" w:pos="1440"/>
          <w:tab w:val="left" w:pos="1800"/>
          <w:tab w:val="left" w:pos="2160"/>
        </w:tabs>
        <w:rPr>
          <w:sz w:val="24"/>
        </w:rPr>
      </w:pPr>
    </w:p>
    <w:tbl>
      <w:tblPr>
        <w:tblW w:w="0" w:type="auto"/>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AF" w:firstRow="1" w:lastRow="0" w:firstColumn="1" w:lastColumn="0" w:noHBand="0" w:noVBand="0"/>
      </w:tblPr>
      <w:tblGrid>
        <w:gridCol w:w="2880"/>
        <w:gridCol w:w="1080"/>
        <w:gridCol w:w="1080"/>
        <w:gridCol w:w="1080"/>
        <w:gridCol w:w="1080"/>
        <w:gridCol w:w="1080"/>
        <w:gridCol w:w="1080"/>
        <w:gridCol w:w="1080"/>
        <w:gridCol w:w="1080"/>
        <w:gridCol w:w="1080"/>
        <w:gridCol w:w="1080"/>
      </w:tblGrid>
      <w:tr w:rsidR="00000000">
        <w:tblPrEx>
          <w:tblCellMar>
            <w:top w:w="0" w:type="dxa"/>
            <w:bottom w:w="0" w:type="dxa"/>
          </w:tblCellMar>
        </w:tblPrEx>
        <w:trPr>
          <w:cantSplit/>
          <w:jc w:val="center"/>
        </w:trPr>
        <w:tc>
          <w:tcPr>
            <w:tcW w:w="2880" w:type="dxa"/>
            <w:vMerge w:val="restart"/>
            <w:tcBorders>
              <w:top w:val="double" w:sz="4" w:space="0" w:color="auto"/>
              <w:left w:val="double" w:sz="4" w:space="0" w:color="auto"/>
              <w:bottom w:val="nil"/>
              <w:right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p>
          <w:p w:rsidR="00000000" w:rsidRDefault="00C40079">
            <w:pPr>
              <w:tabs>
                <w:tab w:val="left" w:pos="360"/>
                <w:tab w:val="left" w:pos="720"/>
                <w:tab w:val="left" w:pos="1080"/>
                <w:tab w:val="left" w:pos="1440"/>
                <w:tab w:val="left" w:pos="1800"/>
                <w:tab w:val="left" w:pos="2160"/>
              </w:tabs>
              <w:jc w:val="center"/>
              <w:rPr>
                <w:b/>
                <w:sz w:val="22"/>
              </w:rPr>
            </w:pPr>
          </w:p>
          <w:p w:rsidR="00000000" w:rsidRDefault="00C40079">
            <w:pPr>
              <w:tabs>
                <w:tab w:val="left" w:pos="360"/>
                <w:tab w:val="left" w:pos="720"/>
                <w:tab w:val="left" w:pos="1080"/>
                <w:tab w:val="left" w:pos="1440"/>
                <w:tab w:val="left" w:pos="1800"/>
                <w:tab w:val="left" w:pos="2160"/>
              </w:tabs>
              <w:jc w:val="center"/>
              <w:rPr>
                <w:b/>
                <w:sz w:val="22"/>
              </w:rPr>
            </w:pPr>
            <w:r>
              <w:rPr>
                <w:b/>
                <w:sz w:val="22"/>
              </w:rPr>
              <w:t>County</w:t>
            </w:r>
          </w:p>
          <w:p w:rsidR="00000000" w:rsidRDefault="00C40079">
            <w:pPr>
              <w:tabs>
                <w:tab w:val="left" w:pos="720"/>
                <w:tab w:val="left" w:pos="1080"/>
                <w:tab w:val="left" w:pos="1440"/>
                <w:tab w:val="left" w:pos="1800"/>
                <w:tab w:val="left" w:pos="2160"/>
              </w:tabs>
              <w:jc w:val="center"/>
              <w:rPr>
                <w:sz w:val="22"/>
              </w:rPr>
            </w:pPr>
          </w:p>
        </w:tc>
        <w:tc>
          <w:tcPr>
            <w:tcW w:w="5400" w:type="dxa"/>
            <w:gridSpan w:val="5"/>
            <w:tcBorders>
              <w:top w:val="double" w:sz="4" w:space="0" w:color="auto"/>
              <w:left w:val="nil"/>
              <w:bottom w:val="nil"/>
              <w:right w:val="single" w:sz="24" w:space="0" w:color="auto"/>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SO</w:t>
            </w:r>
            <w:r>
              <w:rPr>
                <w:b/>
                <w:sz w:val="22"/>
                <w:vertAlign w:val="subscript"/>
              </w:rPr>
              <w:t>2</w:t>
            </w:r>
          </w:p>
          <w:p w:rsidR="00000000" w:rsidRDefault="00C40079">
            <w:pPr>
              <w:pStyle w:val="Heading4"/>
              <w:numPr>
                <w:ilvl w:val="0"/>
                <w:numId w:val="0"/>
              </w:numPr>
              <w:tabs>
                <w:tab w:val="left" w:pos="360"/>
                <w:tab w:val="left" w:pos="720"/>
                <w:tab w:val="left" w:pos="1080"/>
                <w:tab w:val="left" w:pos="1440"/>
                <w:tab w:val="left" w:pos="1800"/>
                <w:tab w:val="left" w:pos="2160"/>
              </w:tabs>
              <w:jc w:val="center"/>
              <w:rPr>
                <w:sz w:val="22"/>
              </w:rPr>
            </w:pPr>
            <w:r>
              <w:rPr>
                <w:sz w:val="22"/>
              </w:rPr>
              <w:t>Tons per Year</w:t>
            </w:r>
          </w:p>
        </w:tc>
        <w:tc>
          <w:tcPr>
            <w:tcW w:w="5400" w:type="dxa"/>
            <w:gridSpan w:val="5"/>
            <w:tcBorders>
              <w:top w:val="double" w:sz="4" w:space="0" w:color="auto"/>
              <w:left w:val="nil"/>
              <w:bottom w:val="nil"/>
              <w:right w:val="double" w:sz="4" w:space="0" w:color="auto"/>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NH</w:t>
            </w:r>
            <w:r>
              <w:rPr>
                <w:b/>
                <w:sz w:val="22"/>
                <w:vertAlign w:val="subscript"/>
              </w:rPr>
              <w:t>3</w:t>
            </w:r>
          </w:p>
          <w:p w:rsidR="00000000" w:rsidRDefault="00C40079">
            <w:pPr>
              <w:tabs>
                <w:tab w:val="left" w:pos="360"/>
                <w:tab w:val="left" w:pos="720"/>
                <w:tab w:val="left" w:pos="1080"/>
                <w:tab w:val="left" w:pos="1440"/>
                <w:tab w:val="left" w:pos="1800"/>
                <w:tab w:val="left" w:pos="2160"/>
              </w:tabs>
              <w:jc w:val="center"/>
              <w:rPr>
                <w:sz w:val="22"/>
              </w:rPr>
            </w:pPr>
            <w:r>
              <w:rPr>
                <w:b/>
                <w:sz w:val="22"/>
              </w:rPr>
              <w:t>Tons per Year</w:t>
            </w:r>
          </w:p>
        </w:tc>
      </w:tr>
      <w:tr w:rsidR="00000000">
        <w:tblPrEx>
          <w:tblCellMar>
            <w:top w:w="0" w:type="dxa"/>
            <w:bottom w:w="0" w:type="dxa"/>
          </w:tblCellMar>
        </w:tblPrEx>
        <w:trPr>
          <w:cantSplit/>
          <w:jc w:val="center"/>
        </w:trPr>
        <w:tc>
          <w:tcPr>
            <w:tcW w:w="2880" w:type="dxa"/>
            <w:vMerge/>
            <w:tcBorders>
              <w:top w:val="nil"/>
              <w:left w:val="double" w:sz="4" w:space="0" w:color="auto"/>
              <w:bottom w:val="single" w:sz="24" w:space="0" w:color="000000"/>
              <w:right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p>
        </w:tc>
        <w:tc>
          <w:tcPr>
            <w:tcW w:w="1080" w:type="dxa"/>
            <w:tcBorders>
              <w:top w:val="single" w:sz="12" w:space="0" w:color="000000"/>
              <w:left w:val="nil"/>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Point Sources</w:t>
            </w:r>
          </w:p>
        </w:tc>
        <w:tc>
          <w:tcPr>
            <w:tcW w:w="1080" w:type="dxa"/>
            <w:tcBorders>
              <w:top w:val="single" w:sz="12" w:space="0" w:color="000000"/>
              <w:left w:val="nil"/>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Area Sources</w:t>
            </w:r>
          </w:p>
        </w:tc>
        <w:tc>
          <w:tcPr>
            <w:tcW w:w="1080" w:type="dxa"/>
            <w:tcBorders>
              <w:top w:val="single" w:sz="12" w:space="0" w:color="000000"/>
              <w:left w:val="nil"/>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Onroad Sources</w:t>
            </w:r>
          </w:p>
        </w:tc>
        <w:tc>
          <w:tcPr>
            <w:tcW w:w="1080" w:type="dxa"/>
            <w:tcBorders>
              <w:top w:val="single" w:sz="12" w:space="0" w:color="000000"/>
              <w:left w:val="nil"/>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Nonroad Sources</w:t>
            </w:r>
          </w:p>
        </w:tc>
        <w:tc>
          <w:tcPr>
            <w:tcW w:w="1080" w:type="dxa"/>
            <w:tcBorders>
              <w:top w:val="single" w:sz="12" w:space="0" w:color="000000"/>
              <w:left w:val="nil"/>
              <w:bottom w:val="single" w:sz="24" w:space="0" w:color="000000"/>
              <w:right w:val="single" w:sz="24" w:space="0" w:color="auto"/>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Bioge</w:t>
            </w:r>
            <w:r>
              <w:rPr>
                <w:b/>
                <w:sz w:val="22"/>
              </w:rPr>
              <w:t>nic</w:t>
            </w:r>
          </w:p>
        </w:tc>
        <w:tc>
          <w:tcPr>
            <w:tcW w:w="1080" w:type="dxa"/>
            <w:tcBorders>
              <w:top w:val="single" w:sz="12" w:space="0" w:color="000000"/>
              <w:left w:val="nil"/>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Point Sources</w:t>
            </w:r>
          </w:p>
        </w:tc>
        <w:tc>
          <w:tcPr>
            <w:tcW w:w="1080" w:type="dxa"/>
            <w:tcBorders>
              <w:top w:val="single" w:sz="12" w:space="0" w:color="000000"/>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Area Sources</w:t>
            </w:r>
          </w:p>
        </w:tc>
        <w:tc>
          <w:tcPr>
            <w:tcW w:w="1080" w:type="dxa"/>
            <w:tcBorders>
              <w:top w:val="single" w:sz="12" w:space="0" w:color="000000"/>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Onroad Sources</w:t>
            </w:r>
          </w:p>
        </w:tc>
        <w:tc>
          <w:tcPr>
            <w:tcW w:w="1080" w:type="dxa"/>
            <w:tcBorders>
              <w:top w:val="single" w:sz="12" w:space="0" w:color="000000"/>
              <w:bottom w:val="single" w:sz="24" w:space="0" w:color="000000"/>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Nonroad Sources</w:t>
            </w:r>
          </w:p>
        </w:tc>
        <w:tc>
          <w:tcPr>
            <w:tcW w:w="1080" w:type="dxa"/>
            <w:tcBorders>
              <w:top w:val="single" w:sz="12" w:space="0" w:color="000000"/>
              <w:bottom w:val="single" w:sz="24" w:space="0" w:color="000000"/>
              <w:right w:val="double" w:sz="4" w:space="0" w:color="auto"/>
            </w:tcBorders>
          </w:tcPr>
          <w:p w:rsidR="00000000" w:rsidRDefault="00C40079">
            <w:pPr>
              <w:tabs>
                <w:tab w:val="left" w:pos="360"/>
                <w:tab w:val="left" w:pos="720"/>
                <w:tab w:val="left" w:pos="1080"/>
                <w:tab w:val="left" w:pos="1440"/>
                <w:tab w:val="left" w:pos="1800"/>
                <w:tab w:val="left" w:pos="2160"/>
              </w:tabs>
              <w:jc w:val="center"/>
              <w:rPr>
                <w:b/>
                <w:sz w:val="22"/>
              </w:rPr>
            </w:pPr>
            <w:r>
              <w:rPr>
                <w:b/>
                <w:sz w:val="22"/>
              </w:rPr>
              <w:t>Biogenic</w:t>
            </w:r>
          </w:p>
        </w:tc>
      </w:tr>
      <w:tr w:rsidR="00000000">
        <w:tblPrEx>
          <w:tblCellMar>
            <w:top w:w="0" w:type="dxa"/>
            <w:bottom w:w="0" w:type="dxa"/>
          </w:tblCellMar>
        </w:tblPrEx>
        <w:trPr>
          <w:cantSplit/>
          <w:jc w:val="center"/>
        </w:trPr>
        <w:tc>
          <w:tcPr>
            <w:tcW w:w="2880" w:type="dxa"/>
            <w:tcBorders>
              <w:top w:val="nil"/>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 xml:space="preserve">Atlantic </w:t>
            </w:r>
          </w:p>
        </w:tc>
        <w:tc>
          <w:tcPr>
            <w:tcW w:w="1080" w:type="dxa"/>
            <w:tcBorders>
              <w:top w:val="nil"/>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w:t>
            </w:r>
          </w:p>
        </w:tc>
        <w:tc>
          <w:tcPr>
            <w:tcW w:w="1080" w:type="dxa"/>
            <w:tcBorders>
              <w:top w:val="nil"/>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498</w:t>
            </w:r>
          </w:p>
        </w:tc>
        <w:tc>
          <w:tcPr>
            <w:tcW w:w="1080" w:type="dxa"/>
            <w:tcBorders>
              <w:top w:val="nil"/>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202</w:t>
            </w:r>
          </w:p>
        </w:tc>
        <w:tc>
          <w:tcPr>
            <w:tcW w:w="1080" w:type="dxa"/>
            <w:tcBorders>
              <w:top w:val="nil"/>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176</w:t>
            </w:r>
          </w:p>
        </w:tc>
        <w:tc>
          <w:tcPr>
            <w:tcW w:w="1080" w:type="dxa"/>
            <w:tcBorders>
              <w:top w:val="nil"/>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top w:val="nil"/>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w:t>
            </w:r>
          </w:p>
        </w:tc>
        <w:tc>
          <w:tcPr>
            <w:tcW w:w="1080" w:type="dxa"/>
            <w:tcBorders>
              <w:top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184</w:t>
            </w:r>
          </w:p>
        </w:tc>
        <w:tc>
          <w:tcPr>
            <w:tcW w:w="1080" w:type="dxa"/>
            <w:tcBorders>
              <w:top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297</w:t>
            </w:r>
          </w:p>
        </w:tc>
        <w:tc>
          <w:tcPr>
            <w:tcW w:w="1080" w:type="dxa"/>
            <w:tcBorders>
              <w:top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w:t>
            </w:r>
          </w:p>
        </w:tc>
        <w:tc>
          <w:tcPr>
            <w:tcW w:w="1080" w:type="dxa"/>
            <w:tcBorders>
              <w:top w:val="nil"/>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329</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 xml:space="preserve">Bergen </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82</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819</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634</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620</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543</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821</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163</w:t>
            </w:r>
          </w:p>
        </w:tc>
        <w:tc>
          <w:tcPr>
            <w:tcW w:w="108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863</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 xml:space="preserve">Burlington </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286</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459</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361</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2,462</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522</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454</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39</w:t>
            </w:r>
          </w:p>
        </w:tc>
        <w:tc>
          <w:tcPr>
            <w:tcW w:w="108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520</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Camden</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162</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506</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313</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1,057</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281</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393</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46</w:t>
            </w:r>
          </w:p>
        </w:tc>
        <w:tc>
          <w:tcPr>
            <w:tcW w:w="108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w:t>
            </w:r>
            <w:r>
              <w:rPr>
                <w:snapToGrid w:val="0"/>
                <w:color w:val="000000"/>
                <w:sz w:val="22"/>
              </w:rPr>
              <w:t>18</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Cape May</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12,178</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163</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75</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993</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86</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107</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w:t>
            </w:r>
          </w:p>
        </w:tc>
        <w:tc>
          <w:tcPr>
            <w:tcW w:w="108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130</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Cumberland</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665</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412</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89</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2,115</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310</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118</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20</w:t>
            </w:r>
          </w:p>
        </w:tc>
        <w:tc>
          <w:tcPr>
            <w:tcW w:w="108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203</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Essex</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2,110</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1,078</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429</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980</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598</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492</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82</w:t>
            </w:r>
          </w:p>
        </w:tc>
        <w:tc>
          <w:tcPr>
            <w:tcW w:w="108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762</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Gloucester</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5,431</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390</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211</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1,243</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445</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265</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22</w:t>
            </w:r>
          </w:p>
        </w:tc>
        <w:tc>
          <w:tcPr>
            <w:tcW w:w="108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274</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Hudson</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19,250</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625</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196</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1,582</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461</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222</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56</w:t>
            </w:r>
          </w:p>
        </w:tc>
        <w:tc>
          <w:tcPr>
            <w:tcW w:w="108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572</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Hunterdo</w:t>
            </w:r>
            <w:r>
              <w:rPr>
                <w:sz w:val="22"/>
              </w:rPr>
              <w:t>n</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18</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391</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163</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123</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569</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187</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w:t>
            </w:r>
          </w:p>
        </w:tc>
        <w:tc>
          <w:tcPr>
            <w:tcW w:w="108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164</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Mercer</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14,379</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450</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264</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501</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310</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331</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41</w:t>
            </w:r>
          </w:p>
        </w:tc>
        <w:tc>
          <w:tcPr>
            <w:tcW w:w="108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347</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Middlesex</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504</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689</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590</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612</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11</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492</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765</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108</w:t>
            </w:r>
          </w:p>
        </w:tc>
        <w:tc>
          <w:tcPr>
            <w:tcW w:w="108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746</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Monmouth</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55</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510</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453</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929</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399</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628</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47</w:t>
            </w:r>
          </w:p>
        </w:tc>
        <w:tc>
          <w:tcPr>
            <w:tcW w:w="108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651</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Morris</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52</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798</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403</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276</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273</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572</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75</w:t>
            </w:r>
          </w:p>
        </w:tc>
        <w:tc>
          <w:tcPr>
            <w:tcW w:w="108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544</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Ocean</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38</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652</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290</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216</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258</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396</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21</w:t>
            </w:r>
          </w:p>
        </w:tc>
        <w:tc>
          <w:tcPr>
            <w:tcW w:w="108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616</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Passaic</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26</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494</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231</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223</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264</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292</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65</w:t>
            </w:r>
          </w:p>
        </w:tc>
        <w:tc>
          <w:tcPr>
            <w:tcW w:w="108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505</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Salem</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4,590</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156</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85</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673</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463</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97</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w:t>
            </w:r>
          </w:p>
        </w:tc>
        <w:tc>
          <w:tcPr>
            <w:tcW w:w="108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89</w:t>
            </w:r>
          </w:p>
        </w:tc>
      </w:tr>
      <w:tr w:rsidR="00000000">
        <w:tblPrEx>
          <w:tblCellMar>
            <w:top w:w="0" w:type="dxa"/>
            <w:bottom w:w="0" w:type="dxa"/>
          </w:tblCellMar>
        </w:tblPrEx>
        <w:trPr>
          <w:cantSplit/>
          <w:jc w:val="center"/>
        </w:trPr>
        <w:tc>
          <w:tcPr>
            <w:tcW w:w="2880" w:type="dxa"/>
            <w:tcBorders>
              <w:left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Somerset</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41</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273</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250</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180</w:t>
            </w:r>
          </w:p>
        </w:tc>
        <w:tc>
          <w:tcPr>
            <w:tcW w:w="1080" w:type="dxa"/>
            <w:tcBorders>
              <w:left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423</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317</w:t>
            </w:r>
          </w:p>
        </w:tc>
        <w:tc>
          <w:tcPr>
            <w:tcW w:w="1080" w:type="dxa"/>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43</w:t>
            </w:r>
          </w:p>
        </w:tc>
        <w:tc>
          <w:tcPr>
            <w:tcW w:w="108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309</w:t>
            </w:r>
          </w:p>
        </w:tc>
      </w:tr>
      <w:tr w:rsidR="00000000">
        <w:tblPrEx>
          <w:tblCellMar>
            <w:top w:w="0" w:type="dxa"/>
            <w:bottom w:w="0" w:type="dxa"/>
          </w:tblCellMar>
        </w:tblPrEx>
        <w:trPr>
          <w:cantSplit/>
          <w:jc w:val="center"/>
        </w:trPr>
        <w:tc>
          <w:tcPr>
            <w:tcW w:w="2880" w:type="dxa"/>
            <w:tcBorders>
              <w:left w:val="double" w:sz="4" w:space="0" w:color="auto"/>
              <w:bottom w:val="nil"/>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Sussex</w:t>
            </w:r>
          </w:p>
        </w:tc>
        <w:tc>
          <w:tcPr>
            <w:tcW w:w="1080" w:type="dxa"/>
            <w:tcBorders>
              <w:left w:val="nil"/>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w:t>
            </w:r>
          </w:p>
        </w:tc>
        <w:tc>
          <w:tcPr>
            <w:tcW w:w="1080" w:type="dxa"/>
            <w:tcBorders>
              <w:left w:val="nil"/>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566</w:t>
            </w:r>
          </w:p>
        </w:tc>
        <w:tc>
          <w:tcPr>
            <w:tcW w:w="1080" w:type="dxa"/>
            <w:tcBorders>
              <w:left w:val="nil"/>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98</w:t>
            </w:r>
          </w:p>
        </w:tc>
        <w:tc>
          <w:tcPr>
            <w:tcW w:w="1080" w:type="dxa"/>
            <w:tcBorders>
              <w:left w:val="nil"/>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69</w:t>
            </w:r>
          </w:p>
        </w:tc>
        <w:tc>
          <w:tcPr>
            <w:tcW w:w="1080" w:type="dxa"/>
            <w:tcBorders>
              <w:left w:val="nil"/>
              <w:bottom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left w:val="nil"/>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w:t>
            </w:r>
          </w:p>
        </w:tc>
        <w:tc>
          <w:tcPr>
            <w:tcW w:w="1080"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296</w:t>
            </w:r>
          </w:p>
        </w:tc>
        <w:tc>
          <w:tcPr>
            <w:tcW w:w="1080"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135</w:t>
            </w:r>
          </w:p>
        </w:tc>
        <w:tc>
          <w:tcPr>
            <w:tcW w:w="1080" w:type="dxa"/>
            <w:tcBorders>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w:t>
            </w:r>
          </w:p>
        </w:tc>
        <w:tc>
          <w:tcPr>
            <w:tcW w:w="1080" w:type="dxa"/>
            <w:tcBorders>
              <w:bottom w:val="nil"/>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235</w:t>
            </w:r>
          </w:p>
        </w:tc>
      </w:tr>
      <w:tr w:rsidR="00000000">
        <w:tblPrEx>
          <w:tblCellMar>
            <w:top w:w="0" w:type="dxa"/>
            <w:bottom w:w="0" w:type="dxa"/>
          </w:tblCellMar>
        </w:tblPrEx>
        <w:trPr>
          <w:cantSplit/>
          <w:jc w:val="center"/>
        </w:trPr>
        <w:tc>
          <w:tcPr>
            <w:tcW w:w="2880" w:type="dxa"/>
            <w:tcBorders>
              <w:top w:val="single" w:sz="2" w:space="0" w:color="000000"/>
              <w:left w:val="double" w:sz="4" w:space="0" w:color="auto"/>
              <w:bottom w:val="nil"/>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Union</w:t>
            </w:r>
          </w:p>
        </w:tc>
        <w:tc>
          <w:tcPr>
            <w:tcW w:w="1080" w:type="dxa"/>
            <w:tcBorders>
              <w:top w:val="single" w:sz="2" w:space="0" w:color="000000"/>
              <w:left w:val="nil"/>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1,253</w:t>
            </w:r>
          </w:p>
        </w:tc>
        <w:tc>
          <w:tcPr>
            <w:tcW w:w="1080" w:type="dxa"/>
            <w:tcBorders>
              <w:top w:val="single" w:sz="2" w:space="0" w:color="000000"/>
              <w:left w:val="nil"/>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602</w:t>
            </w:r>
          </w:p>
        </w:tc>
        <w:tc>
          <w:tcPr>
            <w:tcW w:w="1080" w:type="dxa"/>
            <w:tcBorders>
              <w:top w:val="single" w:sz="2" w:space="0" w:color="000000"/>
              <w:left w:val="nil"/>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321</w:t>
            </w:r>
          </w:p>
        </w:tc>
        <w:tc>
          <w:tcPr>
            <w:tcW w:w="1080" w:type="dxa"/>
            <w:tcBorders>
              <w:top w:val="single" w:sz="2" w:space="0" w:color="000000"/>
              <w:left w:val="nil"/>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1,680</w:t>
            </w:r>
          </w:p>
        </w:tc>
        <w:tc>
          <w:tcPr>
            <w:tcW w:w="1080" w:type="dxa"/>
            <w:tcBorders>
              <w:top w:val="single" w:sz="2" w:space="0" w:color="000000"/>
              <w:left w:val="nil"/>
              <w:bottom w:val="nil"/>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top w:val="single" w:sz="2" w:space="0" w:color="000000"/>
              <w:left w:val="nil"/>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w:t>
            </w:r>
          </w:p>
        </w:tc>
        <w:tc>
          <w:tcPr>
            <w:tcW w:w="1080" w:type="dxa"/>
            <w:tcBorders>
              <w:top w:val="single" w:sz="2" w:space="0" w:color="000000"/>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456</w:t>
            </w:r>
          </w:p>
        </w:tc>
        <w:tc>
          <w:tcPr>
            <w:tcW w:w="1080" w:type="dxa"/>
            <w:tcBorders>
              <w:top w:val="single" w:sz="2" w:space="0" w:color="000000"/>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425</w:t>
            </w:r>
          </w:p>
        </w:tc>
        <w:tc>
          <w:tcPr>
            <w:tcW w:w="1080" w:type="dxa"/>
            <w:tcBorders>
              <w:top w:val="single" w:sz="2" w:space="0" w:color="000000"/>
              <w:bottom w:val="nil"/>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82</w:t>
            </w:r>
          </w:p>
        </w:tc>
        <w:tc>
          <w:tcPr>
            <w:tcW w:w="1080" w:type="dxa"/>
            <w:tcBorders>
              <w:top w:val="single" w:sz="2" w:space="0" w:color="000000"/>
              <w:bottom w:val="nil"/>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501</w:t>
            </w:r>
          </w:p>
        </w:tc>
      </w:tr>
      <w:tr w:rsidR="00000000">
        <w:tblPrEx>
          <w:tblCellMar>
            <w:top w:w="0" w:type="dxa"/>
            <w:bottom w:w="0" w:type="dxa"/>
          </w:tblCellMar>
        </w:tblPrEx>
        <w:trPr>
          <w:cantSplit/>
          <w:jc w:val="center"/>
        </w:trPr>
        <w:tc>
          <w:tcPr>
            <w:tcW w:w="2880" w:type="dxa"/>
            <w:tcBorders>
              <w:top w:val="single" w:sz="2" w:space="0" w:color="000000"/>
              <w:left w:val="double" w:sz="4" w:space="0" w:color="auto"/>
              <w:bottom w:val="single" w:sz="24" w:space="0" w:color="000000"/>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Warren</w:t>
            </w:r>
          </w:p>
        </w:tc>
        <w:tc>
          <w:tcPr>
            <w:tcW w:w="1080" w:type="dxa"/>
            <w:tcBorders>
              <w:top w:val="single" w:sz="2" w:space="0" w:color="000000"/>
              <w:left w:val="nil"/>
              <w:bottom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101</w:t>
            </w:r>
          </w:p>
        </w:tc>
        <w:tc>
          <w:tcPr>
            <w:tcW w:w="1080" w:type="dxa"/>
            <w:tcBorders>
              <w:top w:val="single" w:sz="2" w:space="0" w:color="000000"/>
              <w:left w:val="nil"/>
              <w:bottom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345</w:t>
            </w:r>
          </w:p>
        </w:tc>
        <w:tc>
          <w:tcPr>
            <w:tcW w:w="1080" w:type="dxa"/>
            <w:tcBorders>
              <w:top w:val="single" w:sz="2" w:space="0" w:color="000000"/>
              <w:left w:val="nil"/>
              <w:bottom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134</w:t>
            </w:r>
          </w:p>
        </w:tc>
        <w:tc>
          <w:tcPr>
            <w:tcW w:w="1080" w:type="dxa"/>
            <w:tcBorders>
              <w:top w:val="single" w:sz="2" w:space="0" w:color="000000"/>
              <w:left w:val="nil"/>
              <w:bottom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63</w:t>
            </w:r>
          </w:p>
        </w:tc>
        <w:tc>
          <w:tcPr>
            <w:tcW w:w="1080" w:type="dxa"/>
            <w:tcBorders>
              <w:top w:val="single" w:sz="2" w:space="0" w:color="000000"/>
              <w:left w:val="nil"/>
              <w:bottom w:val="single" w:sz="24" w:space="0" w:color="000000"/>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top w:val="single" w:sz="2" w:space="0" w:color="000000"/>
              <w:left w:val="nil"/>
              <w:bottom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0</w:t>
            </w:r>
          </w:p>
        </w:tc>
        <w:tc>
          <w:tcPr>
            <w:tcW w:w="1080" w:type="dxa"/>
            <w:tcBorders>
              <w:top w:val="single" w:sz="2" w:space="0" w:color="000000"/>
              <w:bottom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371</w:t>
            </w:r>
          </w:p>
        </w:tc>
        <w:tc>
          <w:tcPr>
            <w:tcW w:w="1080" w:type="dxa"/>
            <w:tcBorders>
              <w:top w:val="single" w:sz="2" w:space="0" w:color="000000"/>
              <w:bottom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w:t>
            </w:r>
            <w:r>
              <w:rPr>
                <w:snapToGrid w:val="0"/>
                <w:color w:val="000000"/>
                <w:sz w:val="22"/>
              </w:rPr>
              <w:t>52</w:t>
            </w:r>
          </w:p>
        </w:tc>
        <w:tc>
          <w:tcPr>
            <w:tcW w:w="1080" w:type="dxa"/>
            <w:tcBorders>
              <w:top w:val="single" w:sz="2" w:space="0" w:color="000000"/>
              <w:bottom w:val="single" w:sz="24" w:space="0" w:color="000000"/>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12</w:t>
            </w:r>
          </w:p>
        </w:tc>
        <w:tc>
          <w:tcPr>
            <w:tcW w:w="1080" w:type="dxa"/>
            <w:tcBorders>
              <w:top w:val="single" w:sz="2" w:space="0" w:color="000000"/>
              <w:bottom w:val="single" w:sz="24" w:space="0" w:color="000000"/>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153</w:t>
            </w:r>
          </w:p>
        </w:tc>
      </w:tr>
      <w:tr w:rsidR="00000000">
        <w:tblPrEx>
          <w:tblCellMar>
            <w:top w:w="0" w:type="dxa"/>
            <w:bottom w:w="0" w:type="dxa"/>
          </w:tblCellMar>
        </w:tblPrEx>
        <w:trPr>
          <w:cantSplit/>
          <w:jc w:val="center"/>
        </w:trPr>
        <w:tc>
          <w:tcPr>
            <w:tcW w:w="2880" w:type="dxa"/>
            <w:tcBorders>
              <w:top w:val="nil"/>
              <w:left w:val="double" w:sz="4" w:space="0" w:color="auto"/>
              <w:bottom w:val="double" w:sz="4" w:space="0" w:color="auto"/>
              <w:right w:val="single" w:sz="24" w:space="0" w:color="000000"/>
            </w:tcBorders>
          </w:tcPr>
          <w:p w:rsidR="00000000" w:rsidRDefault="00C40079">
            <w:pPr>
              <w:tabs>
                <w:tab w:val="left" w:pos="360"/>
                <w:tab w:val="left" w:pos="720"/>
                <w:tab w:val="left" w:pos="1080"/>
                <w:tab w:val="left" w:pos="1440"/>
                <w:tab w:val="left" w:pos="1800"/>
                <w:tab w:val="left" w:pos="2160"/>
              </w:tabs>
              <w:rPr>
                <w:sz w:val="22"/>
              </w:rPr>
            </w:pPr>
            <w:r>
              <w:rPr>
                <w:sz w:val="22"/>
              </w:rPr>
              <w:t>Total in State</w:t>
            </w:r>
          </w:p>
        </w:tc>
        <w:tc>
          <w:tcPr>
            <w:tcW w:w="1080" w:type="dxa"/>
            <w:tcBorders>
              <w:top w:val="nil"/>
              <w:left w:val="nil"/>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61,231</w:t>
            </w:r>
          </w:p>
        </w:tc>
        <w:tc>
          <w:tcPr>
            <w:tcW w:w="1080" w:type="dxa"/>
            <w:tcBorders>
              <w:top w:val="nil"/>
              <w:left w:val="nil"/>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10,876</w:t>
            </w:r>
          </w:p>
        </w:tc>
        <w:tc>
          <w:tcPr>
            <w:tcW w:w="1080" w:type="dxa"/>
            <w:tcBorders>
              <w:top w:val="nil"/>
              <w:left w:val="nil"/>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5,793</w:t>
            </w:r>
          </w:p>
        </w:tc>
        <w:tc>
          <w:tcPr>
            <w:tcW w:w="1080" w:type="dxa"/>
            <w:tcBorders>
              <w:top w:val="nil"/>
              <w:left w:val="nil"/>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16,772</w:t>
            </w:r>
          </w:p>
        </w:tc>
        <w:tc>
          <w:tcPr>
            <w:tcW w:w="1080" w:type="dxa"/>
            <w:tcBorders>
              <w:top w:val="nil"/>
              <w:left w:val="nil"/>
              <w:bottom w:val="double" w:sz="4" w:space="0" w:color="auto"/>
              <w:right w:val="single" w:sz="24" w:space="0" w:color="auto"/>
            </w:tcBorders>
          </w:tcPr>
          <w:p w:rsidR="00000000" w:rsidRDefault="00C40079">
            <w:pPr>
              <w:tabs>
                <w:tab w:val="left" w:pos="360"/>
                <w:tab w:val="left" w:pos="720"/>
                <w:tab w:val="left" w:pos="1080"/>
                <w:tab w:val="left" w:pos="1440"/>
                <w:tab w:val="left" w:pos="1800"/>
                <w:tab w:val="left" w:pos="2160"/>
              </w:tabs>
              <w:jc w:val="right"/>
              <w:rPr>
                <w:sz w:val="22"/>
              </w:rPr>
            </w:pPr>
            <w:r>
              <w:rPr>
                <w:sz w:val="22"/>
              </w:rPr>
              <w:t>NA</w:t>
            </w:r>
          </w:p>
        </w:tc>
        <w:tc>
          <w:tcPr>
            <w:tcW w:w="1080" w:type="dxa"/>
            <w:tcBorders>
              <w:top w:val="nil"/>
              <w:left w:val="nil"/>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38</w:t>
            </w:r>
          </w:p>
        </w:tc>
        <w:tc>
          <w:tcPr>
            <w:tcW w:w="1080" w:type="dxa"/>
            <w:tcBorders>
              <w:top w:val="nil"/>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8,005</w:t>
            </w:r>
          </w:p>
        </w:tc>
        <w:tc>
          <w:tcPr>
            <w:tcW w:w="1080" w:type="dxa"/>
            <w:tcBorders>
              <w:top w:val="nil"/>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7,469</w:t>
            </w:r>
          </w:p>
        </w:tc>
        <w:tc>
          <w:tcPr>
            <w:tcW w:w="1080" w:type="dxa"/>
            <w:tcBorders>
              <w:top w:val="nil"/>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970</w:t>
            </w:r>
          </w:p>
        </w:tc>
        <w:tc>
          <w:tcPr>
            <w:tcW w:w="1080" w:type="dxa"/>
            <w:tcBorders>
              <w:top w:val="nil"/>
              <w:bottom w:val="double" w:sz="4" w:space="0" w:color="auto"/>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sz w:val="22"/>
              </w:rPr>
            </w:pPr>
            <w:r>
              <w:rPr>
                <w:snapToGrid w:val="0"/>
                <w:color w:val="000000"/>
                <w:sz w:val="22"/>
              </w:rPr>
              <w:t>9,032</w:t>
            </w:r>
          </w:p>
        </w:tc>
      </w:tr>
    </w:tbl>
    <w:p w:rsidR="00000000" w:rsidRDefault="00C40079">
      <w:pPr>
        <w:tabs>
          <w:tab w:val="left" w:pos="720"/>
          <w:tab w:val="left" w:pos="1080"/>
          <w:tab w:val="left" w:pos="1440"/>
          <w:tab w:val="left" w:pos="1800"/>
          <w:tab w:val="left" w:pos="2160"/>
        </w:tabs>
        <w:rPr>
          <w:sz w:val="24"/>
        </w:rPr>
        <w:sectPr w:rsidR="00000000">
          <w:pgSz w:w="15840" w:h="12240" w:orient="landscape" w:code="1"/>
          <w:pgMar w:top="1440" w:right="1440" w:bottom="1440" w:left="1440" w:header="720" w:footer="720" w:gutter="0"/>
          <w:cols w:space="720"/>
          <w:docGrid w:linePitch="360"/>
        </w:sectPr>
      </w:pPr>
    </w:p>
    <w:p w:rsidR="00000000" w:rsidRDefault="00C40079">
      <w:pPr>
        <w:pStyle w:val="Level2"/>
        <w:widowControl/>
        <w:tabs>
          <w:tab w:val="left" w:pos="720"/>
          <w:tab w:val="left" w:pos="1080"/>
        </w:tabs>
        <w:ind w:left="1080"/>
        <w:rPr>
          <w:b/>
        </w:rPr>
      </w:pPr>
      <w:r>
        <w:rPr>
          <w:b/>
        </w:rPr>
        <w:lastRenderedPageBreak/>
        <w:t>4.</w:t>
      </w:r>
      <w:r>
        <w:rPr>
          <w:b/>
        </w:rPr>
        <w:tab/>
      </w:r>
      <w:bookmarkStart w:id="207" w:name="Emissions_Comparison"/>
      <w:r>
        <w:rPr>
          <w:b/>
        </w:rPr>
        <w:t>Emissions Comparison Summary</w:t>
      </w:r>
      <w:bookmarkEnd w:id="207"/>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A comparison of the 1996 man-made emission inventory to the 2002 man-made emission inventory for New Jersey is presented in Table XX, by pol</w:t>
      </w:r>
      <w:r>
        <w:t>lutant and source sector.  The 1996 inventory was chosen for comparison, because the 1999 area source inventory and portions of the 1999 nonroad inventory were projections of the 1996 base year inventory, therefore are also a reflection of the growth facto</w:t>
      </w:r>
      <w:r>
        <w:t>rs chosen, in addition to the methodologies used to calculated emissions.  This comparison shows the following:</w:t>
      </w:r>
    </w:p>
    <w:p w:rsidR="00000000" w:rsidRDefault="00C40079">
      <w:pPr>
        <w:pStyle w:val="Level2"/>
        <w:tabs>
          <w:tab w:val="left" w:pos="720"/>
          <w:tab w:val="left" w:pos="1080"/>
          <w:tab w:val="left" w:pos="1440"/>
          <w:tab w:val="left" w:pos="1800"/>
          <w:tab w:val="left" w:pos="2160"/>
        </w:tabs>
      </w:pPr>
      <w:r>
        <w:t xml:space="preserve"> </w:t>
      </w:r>
    </w:p>
    <w:p w:rsidR="00000000" w:rsidRDefault="00C40079">
      <w:pPr>
        <w:pStyle w:val="Level2"/>
        <w:numPr>
          <w:ilvl w:val="0"/>
          <w:numId w:val="55"/>
        </w:numPr>
        <w:tabs>
          <w:tab w:val="clear" w:pos="360"/>
          <w:tab w:val="left" w:pos="720"/>
          <w:tab w:val="left" w:pos="1080"/>
          <w:tab w:val="left" w:pos="1440"/>
          <w:tab w:val="left" w:pos="1800"/>
          <w:tab w:val="left" w:pos="2160"/>
        </w:tabs>
        <w:ind w:left="720"/>
      </w:pPr>
      <w:r>
        <w:t>Total man-made VOC, summer tons per day: Overall slight decrease, decreases in point and onroad, increases in area and nonroad;</w:t>
      </w:r>
    </w:p>
    <w:p w:rsidR="00000000" w:rsidRDefault="00C40079">
      <w:pPr>
        <w:pStyle w:val="Level2"/>
        <w:numPr>
          <w:ilvl w:val="0"/>
          <w:numId w:val="55"/>
        </w:numPr>
        <w:tabs>
          <w:tab w:val="clear" w:pos="360"/>
          <w:tab w:val="left" w:pos="720"/>
          <w:tab w:val="left" w:pos="1080"/>
          <w:tab w:val="left" w:pos="1440"/>
          <w:tab w:val="left" w:pos="1800"/>
          <w:tab w:val="left" w:pos="2160"/>
        </w:tabs>
        <w:ind w:left="720"/>
      </w:pPr>
      <w:r>
        <w:t>Total man-made</w:t>
      </w:r>
      <w:r>
        <w:t xml:space="preserve"> NOx summer tons per day: Overall slight increase, slight decreases in point, area and nonroad, increase in onroad; and,</w:t>
      </w:r>
    </w:p>
    <w:p w:rsidR="00000000" w:rsidRDefault="00C40079">
      <w:pPr>
        <w:pStyle w:val="Level2"/>
        <w:numPr>
          <w:ilvl w:val="0"/>
          <w:numId w:val="55"/>
        </w:numPr>
        <w:tabs>
          <w:tab w:val="clear" w:pos="360"/>
          <w:tab w:val="left" w:pos="720"/>
          <w:tab w:val="left" w:pos="1080"/>
          <w:tab w:val="left" w:pos="1440"/>
          <w:tab w:val="left" w:pos="1800"/>
          <w:tab w:val="left" w:pos="2160"/>
        </w:tabs>
        <w:ind w:left="720"/>
      </w:pPr>
      <w:r>
        <w:t>Total man-made CO summer tons per day: Overall increase, increases in point, area, nonroad and onroad.</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More detailed discussions of in</w:t>
      </w:r>
      <w:r>
        <w:t>creases and decreases in emissions are included in the individual sector comparisons in Appendix D.  Decreases are due primarily to federal and state rules that control emissions from industries such as the NO</w:t>
      </w:r>
      <w:r>
        <w:rPr>
          <w:vertAlign w:val="subscript"/>
        </w:rPr>
        <w:t>x</w:t>
      </w:r>
      <w:r>
        <w:t xml:space="preserve"> Budget Program; revisions in federal engine s</w:t>
      </w:r>
      <w:r>
        <w:t>tandards; reformulated gasoline; and basic inspection and maintenance programs.  Increases are due primarily to population growth and increases in vehicle miles traveled; changes in calculation and model methodologies and inputs; and the addition of new em</w:t>
      </w:r>
      <w:r>
        <w:t>ission sources not previously included in the inventory.</w:t>
      </w:r>
    </w:p>
    <w:p w:rsidR="00000000" w:rsidRDefault="00C40079">
      <w:pPr>
        <w:pStyle w:val="Level2"/>
        <w:tabs>
          <w:tab w:val="left" w:pos="720"/>
          <w:tab w:val="left" w:pos="1080"/>
          <w:tab w:val="left" w:pos="1440"/>
          <w:tab w:val="left" w:pos="1800"/>
          <w:tab w:val="left" w:pos="2160"/>
        </w:tabs>
        <w:jc w:val="center"/>
        <w:rPr>
          <w:b/>
        </w:rPr>
      </w:pPr>
      <w:r>
        <w:rPr>
          <w:b/>
        </w:rPr>
        <w:t>Table XX</w:t>
      </w:r>
    </w:p>
    <w:p w:rsidR="00000000" w:rsidRDefault="00C40079">
      <w:pPr>
        <w:pStyle w:val="Level2"/>
        <w:tabs>
          <w:tab w:val="left" w:pos="720"/>
          <w:tab w:val="left" w:pos="1080"/>
          <w:tab w:val="left" w:pos="1440"/>
          <w:tab w:val="left" w:pos="1800"/>
          <w:tab w:val="left" w:pos="2160"/>
        </w:tabs>
        <w:jc w:val="center"/>
        <w:rPr>
          <w:b/>
        </w:rPr>
      </w:pPr>
      <w:r>
        <w:rPr>
          <w:b/>
        </w:rPr>
        <w:t>1996 and 2002 Statewide Emission Inventory by Source Sector and Pollutant</w:t>
      </w:r>
    </w:p>
    <w:p w:rsidR="00000000" w:rsidRDefault="00C40079">
      <w:pPr>
        <w:pStyle w:val="Level2"/>
        <w:widowControl/>
        <w:tabs>
          <w:tab w:val="left" w:pos="720"/>
          <w:tab w:val="left" w:pos="1080"/>
          <w:tab w:val="left" w:pos="1440"/>
          <w:tab w:val="left" w:pos="1800"/>
          <w:tab w:val="left" w:pos="2160"/>
        </w:tabs>
      </w:pPr>
    </w:p>
    <w:tbl>
      <w:tblPr>
        <w:tblW w:w="0" w:type="auto"/>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AF" w:firstRow="1" w:lastRow="0" w:firstColumn="1" w:lastColumn="0" w:noHBand="0" w:noVBand="0"/>
      </w:tblPr>
      <w:tblGrid>
        <w:gridCol w:w="1800"/>
        <w:gridCol w:w="1440"/>
        <w:gridCol w:w="1440"/>
        <w:gridCol w:w="1440"/>
        <w:gridCol w:w="1440"/>
        <w:gridCol w:w="1440"/>
        <w:gridCol w:w="1440"/>
      </w:tblGrid>
      <w:tr w:rsidR="00000000">
        <w:tblPrEx>
          <w:tblCellMar>
            <w:top w:w="0" w:type="dxa"/>
            <w:bottom w:w="0" w:type="dxa"/>
          </w:tblCellMar>
        </w:tblPrEx>
        <w:trPr>
          <w:cantSplit/>
          <w:jc w:val="center"/>
        </w:trPr>
        <w:tc>
          <w:tcPr>
            <w:tcW w:w="1800" w:type="dxa"/>
            <w:tcBorders>
              <w:top w:val="double" w:sz="4" w:space="0" w:color="auto"/>
              <w:left w:val="double" w:sz="4" w:space="0" w:color="auto"/>
              <w:bottom w:val="single" w:sz="18" w:space="0" w:color="000000"/>
              <w:right w:val="single" w:sz="18" w:space="0" w:color="000000"/>
            </w:tcBorders>
          </w:tcPr>
          <w:p w:rsidR="00000000" w:rsidRDefault="00C40079">
            <w:pPr>
              <w:tabs>
                <w:tab w:val="left" w:pos="360"/>
                <w:tab w:val="left" w:pos="720"/>
                <w:tab w:val="left" w:pos="1080"/>
                <w:tab w:val="left" w:pos="1440"/>
                <w:tab w:val="left" w:pos="1800"/>
                <w:tab w:val="left" w:pos="2160"/>
              </w:tabs>
              <w:jc w:val="center"/>
              <w:rPr>
                <w:b/>
              </w:rPr>
            </w:pPr>
          </w:p>
        </w:tc>
        <w:tc>
          <w:tcPr>
            <w:tcW w:w="2880" w:type="dxa"/>
            <w:gridSpan w:val="2"/>
            <w:tcBorders>
              <w:top w:val="double" w:sz="4" w:space="0" w:color="auto"/>
              <w:left w:val="nil"/>
              <w:bottom w:val="nil"/>
              <w:right w:val="single" w:sz="18" w:space="0" w:color="000000"/>
            </w:tcBorders>
          </w:tcPr>
          <w:p w:rsidR="00000000" w:rsidRDefault="00C40079">
            <w:pPr>
              <w:tabs>
                <w:tab w:val="left" w:pos="360"/>
                <w:tab w:val="left" w:pos="720"/>
                <w:tab w:val="left" w:pos="1080"/>
                <w:tab w:val="left" w:pos="1440"/>
                <w:tab w:val="left" w:pos="1800"/>
                <w:tab w:val="left" w:pos="2160"/>
              </w:tabs>
              <w:jc w:val="center"/>
              <w:rPr>
                <w:b/>
              </w:rPr>
            </w:pPr>
            <w:r>
              <w:rPr>
                <w:b/>
              </w:rPr>
              <w:t>VOC</w:t>
            </w:r>
          </w:p>
        </w:tc>
        <w:tc>
          <w:tcPr>
            <w:tcW w:w="2880" w:type="dxa"/>
            <w:gridSpan w:val="2"/>
            <w:tcBorders>
              <w:top w:val="double" w:sz="4" w:space="0" w:color="auto"/>
              <w:left w:val="nil"/>
              <w:bottom w:val="nil"/>
              <w:right w:val="single" w:sz="18" w:space="0" w:color="000000"/>
            </w:tcBorders>
          </w:tcPr>
          <w:p w:rsidR="00000000" w:rsidRDefault="00C40079">
            <w:pPr>
              <w:pStyle w:val="Heading6"/>
              <w:tabs>
                <w:tab w:val="left" w:pos="720"/>
                <w:tab w:val="left" w:pos="1080"/>
                <w:tab w:val="left" w:pos="1440"/>
                <w:tab w:val="left" w:pos="1800"/>
                <w:tab w:val="left" w:pos="2160"/>
              </w:tabs>
              <w:jc w:val="center"/>
              <w:rPr>
                <w:b/>
                <w:sz w:val="20"/>
              </w:rPr>
            </w:pPr>
            <w:r>
              <w:rPr>
                <w:b/>
                <w:sz w:val="20"/>
              </w:rPr>
              <w:t>NO</w:t>
            </w:r>
            <w:r>
              <w:rPr>
                <w:b/>
                <w:sz w:val="20"/>
                <w:vertAlign w:val="subscript"/>
              </w:rPr>
              <w:t>x</w:t>
            </w:r>
          </w:p>
        </w:tc>
        <w:tc>
          <w:tcPr>
            <w:tcW w:w="2880" w:type="dxa"/>
            <w:gridSpan w:val="2"/>
            <w:tcBorders>
              <w:top w:val="double" w:sz="4" w:space="0" w:color="auto"/>
              <w:left w:val="nil"/>
              <w:bottom w:val="single" w:sz="18" w:space="0" w:color="000000"/>
              <w:right w:val="double" w:sz="4" w:space="0" w:color="auto"/>
            </w:tcBorders>
          </w:tcPr>
          <w:p w:rsidR="00000000" w:rsidRDefault="00C40079">
            <w:pPr>
              <w:tabs>
                <w:tab w:val="left" w:pos="360"/>
                <w:tab w:val="left" w:pos="720"/>
                <w:tab w:val="left" w:pos="1080"/>
                <w:tab w:val="left" w:pos="1440"/>
                <w:tab w:val="left" w:pos="1800"/>
                <w:tab w:val="left" w:pos="2160"/>
              </w:tabs>
              <w:jc w:val="center"/>
              <w:rPr>
                <w:b/>
              </w:rPr>
            </w:pPr>
            <w:r>
              <w:rPr>
                <w:b/>
              </w:rPr>
              <w:t>CO</w:t>
            </w:r>
          </w:p>
        </w:tc>
      </w:tr>
      <w:tr w:rsidR="00000000">
        <w:tblPrEx>
          <w:tblCellMar>
            <w:top w:w="0" w:type="dxa"/>
            <w:bottom w:w="0" w:type="dxa"/>
          </w:tblCellMar>
        </w:tblPrEx>
        <w:trPr>
          <w:cantSplit/>
          <w:jc w:val="center"/>
        </w:trPr>
        <w:tc>
          <w:tcPr>
            <w:tcW w:w="1800" w:type="dxa"/>
            <w:tcBorders>
              <w:top w:val="double" w:sz="4" w:space="0" w:color="auto"/>
              <w:left w:val="double" w:sz="4" w:space="0" w:color="auto"/>
              <w:bottom w:val="single" w:sz="18" w:space="0" w:color="000000"/>
              <w:right w:val="single" w:sz="18" w:space="0" w:color="000000"/>
            </w:tcBorders>
            <w:vAlign w:val="center"/>
          </w:tcPr>
          <w:p w:rsidR="00000000" w:rsidRDefault="00C40079">
            <w:pPr>
              <w:tabs>
                <w:tab w:val="left" w:pos="360"/>
                <w:tab w:val="left" w:pos="720"/>
                <w:tab w:val="left" w:pos="1080"/>
                <w:tab w:val="left" w:pos="1440"/>
                <w:tab w:val="left" w:pos="1800"/>
                <w:tab w:val="left" w:pos="2160"/>
              </w:tabs>
              <w:jc w:val="center"/>
              <w:rPr>
                <w:b/>
              </w:rPr>
            </w:pPr>
            <w:r>
              <w:rPr>
                <w:b/>
              </w:rPr>
              <w:t>Source Sector</w:t>
            </w:r>
          </w:p>
        </w:tc>
        <w:tc>
          <w:tcPr>
            <w:tcW w:w="1440" w:type="dxa"/>
            <w:tcBorders>
              <w:top w:val="single" w:sz="18" w:space="0" w:color="000000"/>
              <w:left w:val="nil"/>
              <w:bottom w:val="single" w:sz="18" w:space="0" w:color="000000"/>
              <w:right w:val="single" w:sz="2" w:space="0" w:color="000000"/>
            </w:tcBorders>
          </w:tcPr>
          <w:p w:rsidR="00000000" w:rsidRDefault="00C40079">
            <w:pPr>
              <w:tabs>
                <w:tab w:val="left" w:pos="360"/>
                <w:tab w:val="left" w:pos="720"/>
                <w:tab w:val="left" w:pos="1080"/>
                <w:tab w:val="left" w:pos="1440"/>
                <w:tab w:val="left" w:pos="1800"/>
                <w:tab w:val="left" w:pos="2160"/>
              </w:tabs>
              <w:jc w:val="center"/>
              <w:rPr>
                <w:b/>
              </w:rPr>
            </w:pPr>
            <w:r>
              <w:rPr>
                <w:b/>
              </w:rPr>
              <w:t>1996 Tons per Summer Day</w:t>
            </w:r>
          </w:p>
        </w:tc>
        <w:tc>
          <w:tcPr>
            <w:tcW w:w="1440" w:type="dxa"/>
            <w:tcBorders>
              <w:top w:val="single" w:sz="18" w:space="0" w:color="000000"/>
              <w:left w:val="nil"/>
              <w:bottom w:val="single" w:sz="18" w:space="0" w:color="000000"/>
              <w:right w:val="single" w:sz="18" w:space="0" w:color="000000"/>
            </w:tcBorders>
          </w:tcPr>
          <w:p w:rsidR="00000000" w:rsidRDefault="00C40079">
            <w:pPr>
              <w:tabs>
                <w:tab w:val="left" w:pos="360"/>
                <w:tab w:val="left" w:pos="720"/>
                <w:tab w:val="left" w:pos="1080"/>
                <w:tab w:val="left" w:pos="1440"/>
                <w:tab w:val="left" w:pos="1800"/>
                <w:tab w:val="left" w:pos="2160"/>
              </w:tabs>
              <w:jc w:val="center"/>
              <w:rPr>
                <w:b/>
              </w:rPr>
            </w:pPr>
            <w:r>
              <w:rPr>
                <w:b/>
              </w:rPr>
              <w:t>2002 Tons per Summer Day</w:t>
            </w:r>
          </w:p>
        </w:tc>
        <w:tc>
          <w:tcPr>
            <w:tcW w:w="1440" w:type="dxa"/>
            <w:tcBorders>
              <w:top w:val="single" w:sz="18" w:space="0" w:color="000000"/>
              <w:left w:val="nil"/>
              <w:bottom w:val="single" w:sz="18" w:space="0" w:color="000000"/>
              <w:right w:val="single" w:sz="2" w:space="0" w:color="000000"/>
            </w:tcBorders>
          </w:tcPr>
          <w:p w:rsidR="00000000" w:rsidRDefault="00C40079">
            <w:pPr>
              <w:tabs>
                <w:tab w:val="left" w:pos="360"/>
                <w:tab w:val="left" w:pos="720"/>
                <w:tab w:val="left" w:pos="1080"/>
                <w:tab w:val="left" w:pos="1440"/>
                <w:tab w:val="left" w:pos="1800"/>
                <w:tab w:val="left" w:pos="2160"/>
              </w:tabs>
              <w:jc w:val="center"/>
              <w:rPr>
                <w:b/>
              </w:rPr>
            </w:pPr>
            <w:r>
              <w:rPr>
                <w:b/>
              </w:rPr>
              <w:t>1996 Tons per Summer Day</w:t>
            </w:r>
          </w:p>
        </w:tc>
        <w:tc>
          <w:tcPr>
            <w:tcW w:w="1440" w:type="dxa"/>
            <w:tcBorders>
              <w:top w:val="single" w:sz="18" w:space="0" w:color="000000"/>
              <w:left w:val="nil"/>
              <w:bottom w:val="single" w:sz="18" w:space="0" w:color="000000"/>
              <w:right w:val="single" w:sz="18" w:space="0" w:color="000000"/>
            </w:tcBorders>
          </w:tcPr>
          <w:p w:rsidR="00000000" w:rsidRDefault="00C40079">
            <w:pPr>
              <w:tabs>
                <w:tab w:val="left" w:pos="360"/>
                <w:tab w:val="left" w:pos="720"/>
                <w:tab w:val="left" w:pos="1080"/>
                <w:tab w:val="left" w:pos="1440"/>
                <w:tab w:val="left" w:pos="1800"/>
                <w:tab w:val="left" w:pos="2160"/>
              </w:tabs>
              <w:jc w:val="center"/>
              <w:rPr>
                <w:b/>
              </w:rPr>
            </w:pPr>
            <w:r>
              <w:rPr>
                <w:b/>
              </w:rPr>
              <w:t>2002 Tons per</w:t>
            </w:r>
            <w:r>
              <w:rPr>
                <w:b/>
              </w:rPr>
              <w:t xml:space="preserve"> Summer Day</w:t>
            </w:r>
          </w:p>
        </w:tc>
        <w:tc>
          <w:tcPr>
            <w:tcW w:w="1440" w:type="dxa"/>
            <w:tcBorders>
              <w:top w:val="double" w:sz="4" w:space="0" w:color="auto"/>
              <w:left w:val="nil"/>
              <w:bottom w:val="single" w:sz="18" w:space="0" w:color="000000"/>
            </w:tcBorders>
          </w:tcPr>
          <w:p w:rsidR="00000000" w:rsidRDefault="00C40079">
            <w:pPr>
              <w:tabs>
                <w:tab w:val="left" w:pos="360"/>
                <w:tab w:val="left" w:pos="720"/>
                <w:tab w:val="left" w:pos="1080"/>
                <w:tab w:val="left" w:pos="1440"/>
                <w:tab w:val="left" w:pos="1800"/>
                <w:tab w:val="left" w:pos="2160"/>
              </w:tabs>
              <w:jc w:val="center"/>
              <w:rPr>
                <w:b/>
              </w:rPr>
            </w:pPr>
            <w:r>
              <w:rPr>
                <w:b/>
              </w:rPr>
              <w:t>1996 Tons per Summer Day</w:t>
            </w:r>
          </w:p>
        </w:tc>
        <w:tc>
          <w:tcPr>
            <w:tcW w:w="1440" w:type="dxa"/>
            <w:tcBorders>
              <w:top w:val="double" w:sz="4" w:space="0" w:color="auto"/>
              <w:bottom w:val="single" w:sz="18" w:space="0" w:color="000000"/>
              <w:right w:val="double" w:sz="4" w:space="0" w:color="auto"/>
            </w:tcBorders>
          </w:tcPr>
          <w:p w:rsidR="00000000" w:rsidRDefault="00C40079">
            <w:pPr>
              <w:tabs>
                <w:tab w:val="left" w:pos="360"/>
                <w:tab w:val="left" w:pos="720"/>
                <w:tab w:val="left" w:pos="1080"/>
                <w:tab w:val="left" w:pos="1440"/>
                <w:tab w:val="left" w:pos="1800"/>
                <w:tab w:val="left" w:pos="2160"/>
              </w:tabs>
              <w:jc w:val="center"/>
              <w:rPr>
                <w:b/>
              </w:rPr>
            </w:pPr>
            <w:r>
              <w:rPr>
                <w:b/>
              </w:rPr>
              <w:t>2002 Tons per Summer Day</w:t>
            </w:r>
          </w:p>
        </w:tc>
      </w:tr>
      <w:tr w:rsidR="00000000">
        <w:tblPrEx>
          <w:tblCellMar>
            <w:top w:w="0" w:type="dxa"/>
            <w:bottom w:w="0" w:type="dxa"/>
          </w:tblCellMar>
        </w:tblPrEx>
        <w:trPr>
          <w:cantSplit/>
          <w:jc w:val="center"/>
        </w:trPr>
        <w:tc>
          <w:tcPr>
            <w:tcW w:w="1800" w:type="dxa"/>
            <w:tcBorders>
              <w:top w:val="nil"/>
              <w:left w:val="double" w:sz="4" w:space="0" w:color="auto"/>
              <w:right w:val="single" w:sz="18" w:space="0" w:color="000000"/>
            </w:tcBorders>
          </w:tcPr>
          <w:p w:rsidR="00000000" w:rsidRDefault="00C40079">
            <w:pPr>
              <w:tabs>
                <w:tab w:val="left" w:pos="360"/>
                <w:tab w:val="left" w:pos="720"/>
                <w:tab w:val="left" w:pos="1080"/>
                <w:tab w:val="left" w:pos="1440"/>
                <w:tab w:val="left" w:pos="1800"/>
                <w:tab w:val="left" w:pos="2160"/>
              </w:tabs>
            </w:pPr>
            <w:r>
              <w:t>Point</w:t>
            </w:r>
          </w:p>
        </w:tc>
        <w:tc>
          <w:tcPr>
            <w:tcW w:w="1440" w:type="dxa"/>
            <w:tcBorders>
              <w:top w:val="nil"/>
              <w:left w:val="nil"/>
              <w:bottom w:val="single" w:sz="6" w:space="0" w:color="000000"/>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173.22</w:t>
            </w:r>
          </w:p>
        </w:tc>
        <w:tc>
          <w:tcPr>
            <w:tcW w:w="1440" w:type="dxa"/>
            <w:tcBorders>
              <w:top w:val="nil"/>
              <w:left w:val="nil"/>
              <w:bottom w:val="single" w:sz="6" w:space="0" w:color="000000"/>
              <w:right w:val="single" w:sz="18" w:space="0" w:color="000000"/>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113.15</w:t>
            </w:r>
          </w:p>
        </w:tc>
        <w:tc>
          <w:tcPr>
            <w:tcW w:w="1440" w:type="dxa"/>
            <w:tcBorders>
              <w:top w:val="nil"/>
              <w:left w:val="nil"/>
              <w:bottom w:val="single" w:sz="6" w:space="0" w:color="000000"/>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291.05</w:t>
            </w:r>
          </w:p>
        </w:tc>
        <w:tc>
          <w:tcPr>
            <w:tcW w:w="1440" w:type="dxa"/>
            <w:tcBorders>
              <w:top w:val="nil"/>
              <w:left w:val="nil"/>
              <w:bottom w:val="single" w:sz="6" w:space="0" w:color="000000"/>
              <w:right w:val="single" w:sz="18" w:space="0" w:color="000000"/>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280.36</w:t>
            </w:r>
          </w:p>
        </w:tc>
        <w:tc>
          <w:tcPr>
            <w:tcW w:w="1440" w:type="dxa"/>
            <w:tcBorders>
              <w:top w:val="nil"/>
              <w:left w:val="nil"/>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78.45</w:t>
            </w:r>
          </w:p>
        </w:tc>
        <w:tc>
          <w:tcPr>
            <w:tcW w:w="1440" w:type="dxa"/>
            <w:tcBorders>
              <w:top w:val="nil"/>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89.35</w:t>
            </w:r>
          </w:p>
        </w:tc>
      </w:tr>
      <w:tr w:rsidR="00000000">
        <w:tblPrEx>
          <w:tblCellMar>
            <w:top w:w="0" w:type="dxa"/>
            <w:bottom w:w="0" w:type="dxa"/>
          </w:tblCellMar>
        </w:tblPrEx>
        <w:trPr>
          <w:cantSplit/>
          <w:jc w:val="center"/>
        </w:trPr>
        <w:tc>
          <w:tcPr>
            <w:tcW w:w="1800" w:type="dxa"/>
            <w:tcBorders>
              <w:left w:val="double" w:sz="4" w:space="0" w:color="auto"/>
              <w:right w:val="single" w:sz="18" w:space="0" w:color="000000"/>
            </w:tcBorders>
          </w:tcPr>
          <w:p w:rsidR="00000000" w:rsidRDefault="00C40079">
            <w:pPr>
              <w:tabs>
                <w:tab w:val="left" w:pos="360"/>
                <w:tab w:val="left" w:pos="720"/>
                <w:tab w:val="left" w:pos="1080"/>
                <w:tab w:val="left" w:pos="1440"/>
                <w:tab w:val="left" w:pos="1800"/>
                <w:tab w:val="left" w:pos="2160"/>
              </w:tabs>
            </w:pPr>
            <w:r>
              <w:t xml:space="preserve">Area </w:t>
            </w:r>
          </w:p>
        </w:tc>
        <w:tc>
          <w:tcPr>
            <w:tcW w:w="1440" w:type="dxa"/>
            <w:tcBorders>
              <w:top w:val="nil"/>
              <w:left w:val="nil"/>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304.98</w:t>
            </w:r>
          </w:p>
        </w:tc>
        <w:tc>
          <w:tcPr>
            <w:tcW w:w="1440" w:type="dxa"/>
            <w:tcBorders>
              <w:top w:val="nil"/>
              <w:left w:val="nil"/>
              <w:right w:val="single" w:sz="18" w:space="0" w:color="000000"/>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369.83</w:t>
            </w:r>
          </w:p>
        </w:tc>
        <w:tc>
          <w:tcPr>
            <w:tcW w:w="1440" w:type="dxa"/>
            <w:tcBorders>
              <w:top w:val="nil"/>
              <w:left w:val="nil"/>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39.66</w:t>
            </w:r>
          </w:p>
        </w:tc>
        <w:tc>
          <w:tcPr>
            <w:tcW w:w="1440" w:type="dxa"/>
            <w:tcBorders>
              <w:top w:val="nil"/>
              <w:left w:val="nil"/>
              <w:right w:val="single" w:sz="18" w:space="0" w:color="000000"/>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35.92</w:t>
            </w:r>
          </w:p>
        </w:tc>
        <w:tc>
          <w:tcPr>
            <w:tcW w:w="1440" w:type="dxa"/>
            <w:tcBorders>
              <w:left w:val="nil"/>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26.89</w:t>
            </w:r>
          </w:p>
        </w:tc>
        <w:tc>
          <w:tcPr>
            <w:tcW w:w="1440" w:type="dxa"/>
            <w:tcBorders>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66.45</w:t>
            </w:r>
          </w:p>
        </w:tc>
      </w:tr>
      <w:tr w:rsidR="00000000">
        <w:tblPrEx>
          <w:tblCellMar>
            <w:top w:w="0" w:type="dxa"/>
            <w:bottom w:w="0" w:type="dxa"/>
          </w:tblCellMar>
        </w:tblPrEx>
        <w:trPr>
          <w:cantSplit/>
          <w:jc w:val="center"/>
        </w:trPr>
        <w:tc>
          <w:tcPr>
            <w:tcW w:w="1800" w:type="dxa"/>
            <w:tcBorders>
              <w:left w:val="double" w:sz="4" w:space="0" w:color="auto"/>
              <w:right w:val="single" w:sz="18" w:space="0" w:color="000000"/>
            </w:tcBorders>
          </w:tcPr>
          <w:p w:rsidR="00000000" w:rsidRDefault="00C40079">
            <w:pPr>
              <w:tabs>
                <w:tab w:val="left" w:pos="360"/>
                <w:tab w:val="left" w:pos="720"/>
                <w:tab w:val="left" w:pos="1080"/>
                <w:tab w:val="left" w:pos="1440"/>
                <w:tab w:val="left" w:pos="1800"/>
                <w:tab w:val="left" w:pos="2160"/>
              </w:tabs>
            </w:pPr>
            <w:r>
              <w:t>Onroad</w:t>
            </w:r>
          </w:p>
        </w:tc>
        <w:tc>
          <w:tcPr>
            <w:tcW w:w="1440" w:type="dxa"/>
            <w:tcBorders>
              <w:left w:val="nil"/>
              <w:bottom w:val="nil"/>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309.01</w:t>
            </w:r>
          </w:p>
        </w:tc>
        <w:tc>
          <w:tcPr>
            <w:tcW w:w="1440" w:type="dxa"/>
            <w:tcBorders>
              <w:left w:val="nil"/>
              <w:bottom w:val="nil"/>
              <w:right w:val="single" w:sz="18" w:space="0" w:color="000000"/>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274.74</w:t>
            </w:r>
          </w:p>
        </w:tc>
        <w:tc>
          <w:tcPr>
            <w:tcW w:w="1440" w:type="dxa"/>
            <w:tcBorders>
              <w:left w:val="nil"/>
              <w:bottom w:val="nil"/>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453.82</w:t>
            </w:r>
          </w:p>
        </w:tc>
        <w:tc>
          <w:tcPr>
            <w:tcW w:w="1440" w:type="dxa"/>
            <w:tcBorders>
              <w:left w:val="nil"/>
              <w:bottom w:val="nil"/>
              <w:right w:val="single" w:sz="18" w:space="0" w:color="000000"/>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558.66</w:t>
            </w:r>
          </w:p>
        </w:tc>
        <w:tc>
          <w:tcPr>
            <w:tcW w:w="1440" w:type="dxa"/>
            <w:tcBorders>
              <w:left w:val="nil"/>
              <w:bottom w:val="nil"/>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2,182.99</w:t>
            </w:r>
          </w:p>
        </w:tc>
        <w:tc>
          <w:tcPr>
            <w:tcW w:w="1440" w:type="dxa"/>
            <w:tcBorders>
              <w:bottom w:val="nil"/>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2,856.37</w:t>
            </w:r>
          </w:p>
        </w:tc>
      </w:tr>
      <w:tr w:rsidR="00000000">
        <w:tblPrEx>
          <w:tblCellMar>
            <w:top w:w="0" w:type="dxa"/>
            <w:bottom w:w="0" w:type="dxa"/>
          </w:tblCellMar>
        </w:tblPrEx>
        <w:trPr>
          <w:cantSplit/>
          <w:jc w:val="center"/>
        </w:trPr>
        <w:tc>
          <w:tcPr>
            <w:tcW w:w="1800" w:type="dxa"/>
            <w:tcBorders>
              <w:left w:val="double" w:sz="4" w:space="0" w:color="auto"/>
              <w:right w:val="single" w:sz="18" w:space="0" w:color="auto"/>
            </w:tcBorders>
          </w:tcPr>
          <w:p w:rsidR="00000000" w:rsidRDefault="00C40079">
            <w:pPr>
              <w:tabs>
                <w:tab w:val="left" w:pos="360"/>
                <w:tab w:val="left" w:pos="720"/>
                <w:tab w:val="left" w:pos="1080"/>
                <w:tab w:val="left" w:pos="1440"/>
                <w:tab w:val="left" w:pos="1800"/>
                <w:tab w:val="left" w:pos="2160"/>
              </w:tabs>
            </w:pPr>
            <w:r>
              <w:t>Nonroad</w:t>
            </w:r>
          </w:p>
        </w:tc>
        <w:tc>
          <w:tcPr>
            <w:tcW w:w="1440" w:type="dxa"/>
            <w:tcBorders>
              <w:top w:val="single" w:sz="4" w:space="0" w:color="auto"/>
              <w:left w:val="nil"/>
              <w:bottom w:val="single" w:sz="4" w:space="0" w:color="auto"/>
              <w:right w:val="nil"/>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203.73</w:t>
            </w:r>
          </w:p>
        </w:tc>
        <w:tc>
          <w:tcPr>
            <w:tcW w:w="1440" w:type="dxa"/>
            <w:tcBorders>
              <w:top w:val="single" w:sz="2" w:space="0" w:color="auto"/>
              <w:left w:val="single" w:sz="2" w:space="0" w:color="auto"/>
              <w:bottom w:val="single" w:sz="2" w:space="0" w:color="auto"/>
              <w:right w:val="single" w:sz="18"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220.60</w:t>
            </w:r>
          </w:p>
        </w:tc>
        <w:tc>
          <w:tcPr>
            <w:tcW w:w="1440" w:type="dxa"/>
            <w:tcBorders>
              <w:top w:val="single" w:sz="4" w:space="0" w:color="auto"/>
              <w:left w:val="nil"/>
              <w:bottom w:val="single" w:sz="4" w:space="0" w:color="auto"/>
              <w:right w:val="nil"/>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269.24</w:t>
            </w:r>
          </w:p>
        </w:tc>
        <w:tc>
          <w:tcPr>
            <w:tcW w:w="1440" w:type="dxa"/>
            <w:tcBorders>
              <w:top w:val="single" w:sz="2" w:space="0" w:color="auto"/>
              <w:left w:val="single" w:sz="2" w:space="0" w:color="auto"/>
              <w:bottom w:val="single" w:sz="2" w:space="0" w:color="auto"/>
              <w:right w:val="single" w:sz="18"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231.56</w:t>
            </w:r>
          </w:p>
        </w:tc>
        <w:tc>
          <w:tcPr>
            <w:tcW w:w="1440" w:type="dxa"/>
            <w:tcBorders>
              <w:top w:val="single" w:sz="4" w:space="0" w:color="auto"/>
              <w:left w:val="nil"/>
              <w:bottom w:val="single" w:sz="4" w:space="0" w:color="auto"/>
              <w:right w:val="nil"/>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2,152.25</w:t>
            </w:r>
          </w:p>
        </w:tc>
        <w:tc>
          <w:tcPr>
            <w:tcW w:w="1440" w:type="dxa"/>
            <w:tcBorders>
              <w:top w:val="single" w:sz="4" w:space="0" w:color="auto"/>
              <w:left w:val="single" w:sz="4" w:space="0" w:color="auto"/>
              <w:bottom w:val="single" w:sz="4" w:space="0" w:color="auto"/>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2,</w:t>
            </w:r>
            <w:r>
              <w:rPr>
                <w:snapToGrid w:val="0"/>
                <w:color w:val="000000"/>
              </w:rPr>
              <w:t>497.80</w:t>
            </w:r>
          </w:p>
        </w:tc>
      </w:tr>
      <w:tr w:rsidR="00000000">
        <w:tblPrEx>
          <w:tblCellMar>
            <w:top w:w="0" w:type="dxa"/>
            <w:bottom w:w="0" w:type="dxa"/>
          </w:tblCellMar>
        </w:tblPrEx>
        <w:trPr>
          <w:cantSplit/>
          <w:jc w:val="center"/>
        </w:trPr>
        <w:tc>
          <w:tcPr>
            <w:tcW w:w="1800" w:type="dxa"/>
            <w:tcBorders>
              <w:top w:val="single" w:sz="18" w:space="0" w:color="000000"/>
              <w:left w:val="double" w:sz="4" w:space="0" w:color="auto"/>
              <w:bottom w:val="double" w:sz="4" w:space="0" w:color="auto"/>
              <w:right w:val="single" w:sz="18" w:space="0" w:color="000000"/>
            </w:tcBorders>
          </w:tcPr>
          <w:p w:rsidR="00000000" w:rsidRDefault="00C40079">
            <w:pPr>
              <w:tabs>
                <w:tab w:val="left" w:pos="360"/>
                <w:tab w:val="left" w:pos="720"/>
                <w:tab w:val="left" w:pos="1080"/>
                <w:tab w:val="left" w:pos="1440"/>
                <w:tab w:val="left" w:pos="1800"/>
                <w:tab w:val="left" w:pos="2160"/>
              </w:tabs>
              <w:rPr>
                <w:b/>
              </w:rPr>
            </w:pPr>
            <w:r>
              <w:rPr>
                <w:b/>
              </w:rPr>
              <w:t>Total in State</w:t>
            </w:r>
          </w:p>
        </w:tc>
        <w:tc>
          <w:tcPr>
            <w:tcW w:w="1440" w:type="dxa"/>
            <w:tcBorders>
              <w:top w:val="single" w:sz="18" w:space="0" w:color="000000"/>
              <w:left w:val="nil"/>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990.94</w:t>
            </w:r>
          </w:p>
        </w:tc>
        <w:tc>
          <w:tcPr>
            <w:tcW w:w="1440" w:type="dxa"/>
            <w:tcBorders>
              <w:top w:val="single" w:sz="18" w:space="0" w:color="000000"/>
              <w:left w:val="nil"/>
              <w:bottom w:val="double" w:sz="4" w:space="0" w:color="auto"/>
              <w:right w:val="single" w:sz="18" w:space="0" w:color="000000"/>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978.32</w:t>
            </w:r>
          </w:p>
        </w:tc>
        <w:tc>
          <w:tcPr>
            <w:tcW w:w="1440" w:type="dxa"/>
            <w:tcBorders>
              <w:top w:val="single" w:sz="18" w:space="0" w:color="000000"/>
              <w:left w:val="nil"/>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1,053.77</w:t>
            </w:r>
          </w:p>
        </w:tc>
        <w:tc>
          <w:tcPr>
            <w:tcW w:w="1440" w:type="dxa"/>
            <w:tcBorders>
              <w:top w:val="single" w:sz="18" w:space="0" w:color="000000"/>
              <w:left w:val="nil"/>
              <w:bottom w:val="double" w:sz="4" w:space="0" w:color="auto"/>
              <w:right w:val="single" w:sz="18" w:space="0" w:color="000000"/>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1106.50</w:t>
            </w:r>
          </w:p>
        </w:tc>
        <w:tc>
          <w:tcPr>
            <w:tcW w:w="1440" w:type="dxa"/>
            <w:tcBorders>
              <w:top w:val="single" w:sz="18" w:space="0" w:color="000000"/>
              <w:left w:val="nil"/>
              <w:bottom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4,440.58</w:t>
            </w:r>
          </w:p>
        </w:tc>
        <w:tc>
          <w:tcPr>
            <w:tcW w:w="1440" w:type="dxa"/>
            <w:tcBorders>
              <w:top w:val="single" w:sz="18" w:space="0" w:color="000000"/>
              <w:bottom w:val="double" w:sz="4" w:space="0" w:color="auto"/>
              <w:right w:val="double" w:sz="4" w:space="0" w:color="auto"/>
            </w:tcBorders>
          </w:tcPr>
          <w:p w:rsidR="00000000" w:rsidRDefault="00C40079">
            <w:pPr>
              <w:tabs>
                <w:tab w:val="left" w:pos="720"/>
                <w:tab w:val="left" w:pos="1080"/>
                <w:tab w:val="left" w:pos="1440"/>
                <w:tab w:val="left" w:pos="1800"/>
                <w:tab w:val="left" w:pos="2160"/>
              </w:tabs>
              <w:jc w:val="right"/>
              <w:rPr>
                <w:snapToGrid w:val="0"/>
                <w:color w:val="000000"/>
              </w:rPr>
            </w:pPr>
            <w:r>
              <w:rPr>
                <w:snapToGrid w:val="0"/>
                <w:color w:val="000000"/>
              </w:rPr>
              <w:t>5,509.97</w:t>
            </w:r>
          </w:p>
        </w:tc>
      </w:tr>
    </w:tbl>
    <w:p w:rsidR="00000000" w:rsidRDefault="00C40079">
      <w:pPr>
        <w:pStyle w:val="Level2"/>
        <w:widowControl/>
        <w:tabs>
          <w:tab w:val="left" w:pos="720"/>
          <w:tab w:val="left" w:pos="1080"/>
          <w:tab w:val="left" w:pos="1440"/>
          <w:tab w:val="left" w:pos="1800"/>
          <w:tab w:val="left" w:pos="2160"/>
        </w:tabs>
      </w:pPr>
    </w:p>
    <w:p w:rsidR="00000000" w:rsidRDefault="00C40079">
      <w:pPr>
        <w:pStyle w:val="Level2"/>
        <w:widowControl/>
        <w:numPr>
          <w:ilvl w:val="0"/>
          <w:numId w:val="38"/>
        </w:numPr>
        <w:tabs>
          <w:tab w:val="left" w:pos="720"/>
          <w:tab w:val="left" w:pos="1080"/>
          <w:tab w:val="left" w:pos="1440"/>
          <w:tab w:val="left" w:pos="1800"/>
          <w:tab w:val="left" w:pos="2160"/>
        </w:tabs>
        <w:rPr>
          <w:b/>
        </w:rPr>
      </w:pPr>
      <w:bookmarkStart w:id="208" w:name="Public_Part"/>
      <w:r>
        <w:rPr>
          <w:b/>
        </w:rPr>
        <w:t>Public Participation</w:t>
      </w:r>
      <w:bookmarkEnd w:id="208"/>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widowControl/>
        <w:tabs>
          <w:tab w:val="left" w:pos="1080"/>
          <w:tab w:val="left" w:pos="1440"/>
          <w:tab w:val="left" w:pos="1800"/>
          <w:tab w:val="left" w:pos="2160"/>
        </w:tabs>
      </w:pPr>
      <w:r>
        <w:t xml:space="preserve">New Jersey is planning on holding a public hearing on the proposed SIP revisions.  Notice of the hearing will be published in several newspapers throughout the </w:t>
      </w:r>
      <w:r>
        <w:t>State before the date of the public hearing.  A complete description of the public hearing process, the comments received and New Jersey’s response to those comments will be included in the final SIP document.</w:t>
      </w:r>
    </w:p>
    <w:p w:rsidR="00000000" w:rsidRDefault="00C40079">
      <w:pPr>
        <w:tabs>
          <w:tab w:val="left" w:pos="720"/>
          <w:tab w:val="left" w:pos="1080"/>
          <w:tab w:val="left" w:pos="1440"/>
          <w:tab w:val="left" w:pos="1800"/>
          <w:tab w:val="left" w:pos="2160"/>
        </w:tabs>
        <w:rPr>
          <w:sz w:val="24"/>
        </w:rPr>
        <w:sectPr w:rsidR="00000000">
          <w:pgSz w:w="12240" w:h="15840" w:code="1"/>
          <w:pgMar w:top="1440" w:right="1440" w:bottom="1440" w:left="1440" w:header="720" w:footer="720" w:gutter="0"/>
          <w:cols w:space="720"/>
          <w:docGrid w:linePitch="360"/>
        </w:sectPr>
      </w:pPr>
    </w:p>
    <w:p w:rsidR="00000000" w:rsidRDefault="00C40079">
      <w:pPr>
        <w:tabs>
          <w:tab w:val="left" w:pos="720"/>
          <w:tab w:val="left" w:pos="1080"/>
          <w:tab w:val="left" w:pos="1440"/>
          <w:tab w:val="left" w:pos="1800"/>
          <w:tab w:val="left" w:pos="2160"/>
        </w:tabs>
        <w:rPr>
          <w:sz w:val="24"/>
        </w:rPr>
      </w:pPr>
    </w:p>
    <w:p w:rsidR="00000000" w:rsidRDefault="00C40079">
      <w:pPr>
        <w:pStyle w:val="Level2"/>
        <w:widowControl/>
        <w:tabs>
          <w:tab w:val="left" w:pos="720"/>
          <w:tab w:val="left" w:pos="1080"/>
          <w:tab w:val="left" w:pos="1440"/>
          <w:tab w:val="left" w:pos="1800"/>
          <w:tab w:val="left" w:pos="2160"/>
        </w:tabs>
        <w:jc w:val="center"/>
        <w:rPr>
          <w:b/>
          <w:sz w:val="28"/>
          <w:u w:val="single"/>
        </w:rPr>
      </w:pPr>
      <w:bookmarkStart w:id="209" w:name="_Hlt126635621"/>
      <w:bookmarkStart w:id="210" w:name="CO_History"/>
      <w:bookmarkEnd w:id="209"/>
      <w:r>
        <w:rPr>
          <w:b/>
          <w:sz w:val="28"/>
          <w:u w:val="single"/>
        </w:rPr>
        <w:t>Appendix A</w:t>
      </w:r>
    </w:p>
    <w:p w:rsidR="00000000" w:rsidRDefault="00C40079">
      <w:pPr>
        <w:pStyle w:val="Level2"/>
        <w:widowControl/>
        <w:tabs>
          <w:tab w:val="left" w:pos="720"/>
          <w:tab w:val="left" w:pos="1080"/>
          <w:tab w:val="left" w:pos="1440"/>
          <w:tab w:val="left" w:pos="1800"/>
          <w:tab w:val="left" w:pos="2160"/>
        </w:tabs>
        <w:jc w:val="center"/>
        <w:rPr>
          <w:b/>
          <w:sz w:val="28"/>
        </w:rPr>
      </w:pPr>
    </w:p>
    <w:p w:rsidR="00000000" w:rsidRDefault="00C40079">
      <w:pPr>
        <w:pStyle w:val="Level2"/>
        <w:widowControl/>
        <w:tabs>
          <w:tab w:val="left" w:pos="720"/>
          <w:tab w:val="left" w:pos="1080"/>
          <w:tab w:val="left" w:pos="1440"/>
          <w:tab w:val="left" w:pos="1800"/>
          <w:tab w:val="left" w:pos="2160"/>
        </w:tabs>
        <w:jc w:val="center"/>
        <w:rPr>
          <w:b/>
          <w:sz w:val="28"/>
          <w:u w:val="single"/>
        </w:rPr>
      </w:pPr>
      <w:r>
        <w:rPr>
          <w:b/>
          <w:sz w:val="28"/>
          <w:u w:val="single"/>
        </w:rPr>
        <w:t>History of New Jersey’s Carbon M</w:t>
      </w:r>
      <w:r>
        <w:rPr>
          <w:b/>
          <w:sz w:val="28"/>
          <w:u w:val="single"/>
        </w:rPr>
        <w:t xml:space="preserve">onoxide State Implementation </w:t>
      </w:r>
      <w:bookmarkEnd w:id="210"/>
      <w:r>
        <w:rPr>
          <w:b/>
          <w:sz w:val="28"/>
          <w:u w:val="single"/>
        </w:rPr>
        <w:t>Plan</w:t>
      </w:r>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widowControl/>
        <w:tabs>
          <w:tab w:val="left" w:pos="720"/>
          <w:tab w:val="left" w:pos="1080"/>
          <w:tab w:val="left" w:pos="1440"/>
          <w:tab w:val="left" w:pos="1800"/>
          <w:tab w:val="left" w:pos="2160"/>
        </w:tabs>
      </w:pPr>
      <w:r>
        <w:t>This appendix provides a history of the previous updates to New Jersey's carbon monoxide SIP.</w:t>
      </w:r>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rPr>
          <w:u w:val="single"/>
        </w:rPr>
      </w:pPr>
      <w:r>
        <w:rPr>
          <w:u w:val="single"/>
        </w:rPr>
        <w:t>1982 Carbon Monoxide SIP</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1982 Carbon Monoxide SIP identified two State measures and one federal measure to bring New Jers</w:t>
      </w:r>
      <w:r>
        <w:t xml:space="preserve">ey’s nonattainment areas into compliance with the NAAQS.  The state measures identified were the pre-1990 modifications to the State’s basic motor vehicle inspection and maintenance (I/M) program (not to be confused with the enhanced I/M program described </w:t>
      </w:r>
      <w:r>
        <w:t>in the 1990 Clean Air Act) and local transportation control measures.  The federal measure was the Federal Motor Vehicle Control Program.</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USEPA approved the pre-1990 modifications to the basic I/M program for inclusion in the SIP.</w:t>
      </w:r>
      <w:r>
        <w:rPr>
          <w:rStyle w:val="FootnoteReference"/>
          <w:vertAlign w:val="superscript"/>
        </w:rPr>
        <w:footnoteReference w:id="65"/>
      </w:r>
      <w:r>
        <w:t xml:space="preserve">  The USEPA also fou</w:t>
      </w:r>
      <w:r>
        <w:t>nd that New Jersey had implemented all of the transportation control measures committed to in the 1982 SIP revision.</w:t>
      </w:r>
      <w:r>
        <w:rPr>
          <w:rStyle w:val="FootnoteReference"/>
          <w:vertAlign w:val="superscript"/>
        </w:rPr>
        <w:footnoteReference w:id="66"/>
      </w:r>
      <w:r>
        <w:t xml:space="preserve">  The Federal Motor Vehicle Control Program was implemented nationally and was subsequently revised by the Clean Air Act Amendments of 1990</w:t>
      </w:r>
      <w:r>
        <w:t>, which contained new programs to further reduce emissions from motor vehicles.  These programs continue to produce emission reductions as newer motor vehicles constantly replace older vehicles, a phenomenon commonly referred to as vehicle fleet turnover.</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rPr>
          <w:u w:val="single"/>
        </w:rPr>
      </w:pPr>
      <w:r>
        <w:rPr>
          <w:u w:val="single"/>
        </w:rPr>
        <w:t>1992 Carbon Monoxide SIP Revisions</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On November 15, 1992, New Jersey submitted to the USEPA revisions to the carbon monoxide SIP required by the 1990 Clean Air Act.  These revisions included:</w:t>
      </w: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16"/>
        </w:numPr>
        <w:tabs>
          <w:tab w:val="clear" w:pos="360"/>
          <w:tab w:val="left" w:pos="720"/>
          <w:tab w:val="left" w:pos="1080"/>
          <w:tab w:val="left" w:pos="1440"/>
          <w:tab w:val="left" w:pos="1800"/>
          <w:tab w:val="left" w:pos="2160"/>
        </w:tabs>
        <w:ind w:left="720"/>
      </w:pPr>
      <w:r>
        <w:t>Submission of a 1990 emission inventory;</w:t>
      </w:r>
    </w:p>
    <w:p w:rsidR="00000000" w:rsidRDefault="00C40079">
      <w:pPr>
        <w:pStyle w:val="Level2"/>
        <w:numPr>
          <w:ilvl w:val="0"/>
          <w:numId w:val="16"/>
        </w:numPr>
        <w:tabs>
          <w:tab w:val="clear" w:pos="360"/>
          <w:tab w:val="left" w:pos="720"/>
          <w:tab w:val="left" w:pos="1080"/>
          <w:tab w:val="left" w:pos="1440"/>
          <w:tab w:val="left" w:pos="1800"/>
          <w:tab w:val="left" w:pos="2160"/>
        </w:tabs>
        <w:ind w:left="720"/>
      </w:pPr>
      <w:r>
        <w:t>Commitment to perform</w:t>
      </w:r>
      <w:r>
        <w:t xml:space="preserve"> periodic emission inventories;</w:t>
      </w:r>
    </w:p>
    <w:p w:rsidR="00000000" w:rsidRDefault="00C40079">
      <w:pPr>
        <w:pStyle w:val="Level2"/>
        <w:numPr>
          <w:ilvl w:val="0"/>
          <w:numId w:val="16"/>
        </w:numPr>
        <w:tabs>
          <w:tab w:val="clear" w:pos="360"/>
          <w:tab w:val="left" w:pos="720"/>
          <w:tab w:val="left" w:pos="1080"/>
          <w:tab w:val="left" w:pos="1440"/>
          <w:tab w:val="left" w:pos="1800"/>
          <w:tab w:val="left" w:pos="2160"/>
        </w:tabs>
        <w:ind w:left="720"/>
      </w:pPr>
      <w:r>
        <w:t>Commitment to demonstrate attainment of the carbon monoxide NAAQS using modeling;</w:t>
      </w:r>
    </w:p>
    <w:p w:rsidR="00000000" w:rsidRDefault="00C40079">
      <w:pPr>
        <w:pStyle w:val="Level2"/>
        <w:numPr>
          <w:ilvl w:val="0"/>
          <w:numId w:val="16"/>
        </w:numPr>
        <w:tabs>
          <w:tab w:val="clear" w:pos="360"/>
          <w:tab w:val="left" w:pos="720"/>
          <w:tab w:val="left" w:pos="1080"/>
          <w:tab w:val="left" w:pos="1440"/>
          <w:tab w:val="left" w:pos="1800"/>
          <w:tab w:val="left" w:pos="2160"/>
        </w:tabs>
        <w:ind w:left="720"/>
      </w:pPr>
      <w:r>
        <w:t>Commitment to submit annual vehicle miles traveled tracking reports;</w:t>
      </w:r>
    </w:p>
    <w:p w:rsidR="00000000" w:rsidRDefault="00C40079">
      <w:pPr>
        <w:pStyle w:val="Level2"/>
        <w:numPr>
          <w:ilvl w:val="0"/>
          <w:numId w:val="16"/>
        </w:numPr>
        <w:tabs>
          <w:tab w:val="clear" w:pos="360"/>
          <w:tab w:val="left" w:pos="720"/>
          <w:tab w:val="left" w:pos="1080"/>
          <w:tab w:val="left" w:pos="1440"/>
          <w:tab w:val="left" w:pos="1800"/>
          <w:tab w:val="left" w:pos="2160"/>
        </w:tabs>
        <w:ind w:left="720"/>
      </w:pPr>
      <w:r>
        <w:t>Requirement for the sale of oxygenated gasoline;</w:t>
      </w:r>
    </w:p>
    <w:p w:rsidR="00000000" w:rsidRDefault="00C40079">
      <w:pPr>
        <w:pStyle w:val="Level2"/>
        <w:numPr>
          <w:ilvl w:val="0"/>
          <w:numId w:val="16"/>
        </w:numPr>
        <w:tabs>
          <w:tab w:val="clear" w:pos="360"/>
          <w:tab w:val="left" w:pos="720"/>
          <w:tab w:val="left" w:pos="1080"/>
          <w:tab w:val="left" w:pos="1440"/>
          <w:tab w:val="left" w:pos="1800"/>
          <w:tab w:val="left" w:pos="2160"/>
        </w:tabs>
        <w:ind w:left="720"/>
      </w:pPr>
      <w:r>
        <w:t xml:space="preserve">Adoption of contingency </w:t>
      </w:r>
      <w:r>
        <w:t>measures for failure to attain the standard;</w:t>
      </w:r>
    </w:p>
    <w:p w:rsidR="00000000" w:rsidRDefault="00C40079">
      <w:pPr>
        <w:pStyle w:val="Level2"/>
        <w:numPr>
          <w:ilvl w:val="0"/>
          <w:numId w:val="16"/>
        </w:numPr>
        <w:tabs>
          <w:tab w:val="clear" w:pos="360"/>
          <w:tab w:val="left" w:pos="720"/>
          <w:tab w:val="left" w:pos="1080"/>
          <w:tab w:val="left" w:pos="1440"/>
          <w:tab w:val="left" w:pos="1800"/>
          <w:tab w:val="left" w:pos="2160"/>
        </w:tabs>
        <w:ind w:left="720"/>
      </w:pPr>
      <w:r>
        <w:t>Adoption of contingency measures for exceedance of the vehicle miles traveled forecast;</w:t>
      </w:r>
    </w:p>
    <w:p w:rsidR="00000000" w:rsidRDefault="00C40079">
      <w:pPr>
        <w:pStyle w:val="Level2"/>
        <w:numPr>
          <w:ilvl w:val="0"/>
          <w:numId w:val="16"/>
        </w:numPr>
        <w:tabs>
          <w:tab w:val="clear" w:pos="360"/>
          <w:tab w:val="left" w:pos="720"/>
          <w:tab w:val="left" w:pos="1080"/>
          <w:tab w:val="left" w:pos="1440"/>
          <w:tab w:val="left" w:pos="1800"/>
          <w:tab w:val="left" w:pos="2160"/>
        </w:tabs>
        <w:ind w:left="720"/>
      </w:pPr>
      <w:r>
        <w:t>Commitment to adopt an enhanced I/M program;</w:t>
      </w:r>
    </w:p>
    <w:p w:rsidR="00000000" w:rsidRDefault="00C40079">
      <w:pPr>
        <w:pStyle w:val="Level2"/>
        <w:numPr>
          <w:ilvl w:val="0"/>
          <w:numId w:val="16"/>
        </w:numPr>
        <w:tabs>
          <w:tab w:val="clear" w:pos="360"/>
          <w:tab w:val="left" w:pos="720"/>
          <w:tab w:val="left" w:pos="1080"/>
          <w:tab w:val="left" w:pos="1440"/>
          <w:tab w:val="left" w:pos="1800"/>
          <w:tab w:val="left" w:pos="2160"/>
        </w:tabs>
        <w:ind w:left="720"/>
      </w:pPr>
      <w:r>
        <w:t>Adoption of a new source review program; and,</w:t>
      </w:r>
    </w:p>
    <w:p w:rsidR="00000000" w:rsidRDefault="00C40079">
      <w:pPr>
        <w:pStyle w:val="Level2"/>
        <w:numPr>
          <w:ilvl w:val="0"/>
          <w:numId w:val="16"/>
        </w:numPr>
        <w:tabs>
          <w:tab w:val="clear" w:pos="360"/>
          <w:tab w:val="left" w:pos="720"/>
          <w:tab w:val="left" w:pos="1080"/>
          <w:tab w:val="left" w:pos="1440"/>
          <w:tab w:val="left" w:pos="1800"/>
          <w:tab w:val="left" w:pos="2160"/>
        </w:tabs>
        <w:ind w:left="720"/>
      </w:pPr>
      <w:r>
        <w:t>Commitment to perform conformity</w:t>
      </w:r>
      <w:r>
        <w:t xml:space="preserve"> determinations.</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 xml:space="preserve">The USEPA approved New Jersey’s emission inventory and contingency measures on December 7, 1995, at 60 FR 62741. The State has since complied with all of the commitments made in its </w:t>
      </w:r>
      <w:r>
        <w:lastRenderedPageBreak/>
        <w:t>1992 carbon monoxide SIP and has implemented the necessa</w:t>
      </w:r>
      <w:r>
        <w:t>ry measures. Many of the commitments included in the 1992 carbon monoxide SIP have been approved by the USEPA, as outlined in the next few paragraphs.</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USEPA adopted a limited approval of New Jersey’s oxygenated fuels rule on February 12, 1996, at 61 F</w:t>
      </w:r>
      <w:r>
        <w:t>R 5299.  It should be noted that the 1992 SIP revision contained a wintertime oxygenated fuels rule that outlined a program designed for both the Camden County (southern) carbon monoxide nonattainment area and the New Jersey portion of the New York City/No</w:t>
      </w:r>
      <w:r>
        <w:t>rthern New Jersey/Long Island (northeastern) carbon monoxide nonattainment area.  However, at the time of the USEPA’s approval of the State’s wintertime oxygenated fuels program, New Jersey was in attainment in the Camden County area and the USEPA’s direct</w:t>
      </w:r>
      <w:r>
        <w:t xml:space="preserve"> final rule redesignating that area to attainment was in effect.</w:t>
      </w:r>
      <w:r>
        <w:rPr>
          <w:rStyle w:val="FootnoteReference"/>
          <w:sz w:val="20"/>
          <w:vertAlign w:val="superscript"/>
        </w:rPr>
        <w:footnoteReference w:id="67"/>
      </w:r>
      <w:r>
        <w:t xml:space="preserve">  Consequently, the USEPA’s SIP approval for New Jersey’s wintertime oxygenated fuels program applied only to the northeastern carbon monoxide nonattainment area.  New Jersey tried several ti</w:t>
      </w:r>
      <w:r>
        <w:t>mes to end the program due to concern regarding methyl tertiary-butyl ether (or MTBE), and subsequently adopted regulations that ended the wintertime oxygenated fuels program in the southern portion of the State.</w:t>
      </w:r>
      <w:r>
        <w:rPr>
          <w:rStyle w:val="FootnoteReference"/>
          <w:sz w:val="20"/>
          <w:vertAlign w:val="superscript"/>
        </w:rPr>
        <w:footnoteReference w:id="68"/>
      </w:r>
      <w:r>
        <w:t xml:space="preserve">  At New Jersey’s request, the USEPA approv</w:t>
      </w:r>
      <w:r>
        <w:t>ed the removal of New Jersey’s oxygenated gasoline program from its SIP on November 22, 1999.</w:t>
      </w:r>
    </w:p>
    <w:p w:rsidR="00000000" w:rsidRDefault="00C40079">
      <w:pPr>
        <w:pStyle w:val="Level2"/>
        <w:tabs>
          <w:tab w:val="left" w:pos="720"/>
          <w:tab w:val="left" w:pos="1080"/>
          <w:tab w:val="left" w:pos="1440"/>
          <w:tab w:val="left" w:pos="1800"/>
          <w:tab w:val="left" w:pos="2160"/>
        </w:tabs>
      </w:pPr>
      <w:r>
        <w:t xml:space="preserve"> </w:t>
      </w:r>
    </w:p>
    <w:p w:rsidR="00000000" w:rsidRDefault="00C40079">
      <w:pPr>
        <w:pStyle w:val="Level2"/>
        <w:tabs>
          <w:tab w:val="left" w:pos="720"/>
          <w:tab w:val="left" w:pos="1080"/>
          <w:tab w:val="left" w:pos="1440"/>
          <w:tab w:val="left" w:pos="1800"/>
          <w:tab w:val="left" w:pos="2160"/>
        </w:tabs>
      </w:pPr>
      <w:r>
        <w:t>The USEPA proposed both a limited approval and a limited disapproval of the State’s carbon monoxide New Source Review rule and a disapproval of the State’s carb</w:t>
      </w:r>
      <w:r>
        <w:t>on monoxide attainment demonstration for the northeastern part of the State on November 10, 1994, at 59 FR 56019.  The USEPA’s proposed disapproval of the State’s carbon monoxide attainment demonstration was predicated on the fact that the demonstration re</w:t>
      </w:r>
      <w:r>
        <w:t xml:space="preserve">lied on the implementation of an enhanced I/M program that had not been fully developed or implemented by the State.  On July 25, 1996, at 61 FR 38591, the USEPA adopted its limited approval of the State’s New Source Review regulation, as well as adopting </w:t>
      </w:r>
      <w:r>
        <w:t>its proposed approvals of New Jersey’s vehicle miles traveled forecast and its multi-state coordination commitment.  As part of its July 25, 1996, promulgation, the USEPA committed to taking future action on New Jersey’s attainment demonstration and enhanc</w:t>
      </w:r>
      <w:r>
        <w:t>ed I/M program in separate Federal Registers.  The USEPA has granted conditional interim approval of New Jersey’s enhanced I/M program and has proposed a full approval.</w:t>
      </w:r>
      <w:r>
        <w:rPr>
          <w:rStyle w:val="FootnoteReference"/>
          <w:sz w:val="20"/>
          <w:vertAlign w:val="superscript"/>
        </w:rPr>
        <w:footnoteReference w:id="69"/>
      </w:r>
      <w:r>
        <w:rPr>
          <w:sz w:val="20"/>
          <w:vertAlign w:val="superscript"/>
        </w:rPr>
        <w:t>,</w:t>
      </w:r>
      <w:r>
        <w:rPr>
          <w:rStyle w:val="FootnoteReference"/>
          <w:sz w:val="20"/>
          <w:vertAlign w:val="superscript"/>
        </w:rPr>
        <w:footnoteReference w:id="70"/>
      </w:r>
      <w:r>
        <w:t xml:space="preserve">  The USEPA determined on November 22, 1999, that the entire northeastern nonattainme</w:t>
      </w:r>
      <w:r>
        <w:t>nt area had met the NAAQS for carbon monoxide.</w:t>
      </w:r>
      <w:r>
        <w:rPr>
          <w:rStyle w:val="FootnoteReference"/>
          <w:sz w:val="20"/>
          <w:vertAlign w:val="superscript"/>
        </w:rPr>
        <w:footnoteReference w:id="71"/>
      </w:r>
      <w:r>
        <w:t xml:space="preserve">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rPr>
          <w:u w:val="single"/>
        </w:rPr>
      </w:pPr>
      <w:r>
        <w:rPr>
          <w:u w:val="single"/>
        </w:rPr>
        <w:t>1994 Carbon Monoxide SIP Revisions</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On November 17, 1994, New Jersey revised its carbon monoxide SIP for the northeastern carbon monoxide nonattainment area to incorporate the results for the most recent pl</w:t>
      </w:r>
      <w:r>
        <w:t xml:space="preserve">anning tools available to the NJDEP.  The updated planning tools included: </w:t>
      </w:r>
    </w:p>
    <w:p w:rsidR="00000000" w:rsidRDefault="00C40079">
      <w:pPr>
        <w:pStyle w:val="Level2"/>
        <w:tabs>
          <w:tab w:val="left" w:pos="720"/>
          <w:tab w:val="left" w:pos="1080"/>
          <w:tab w:val="left" w:pos="1440"/>
          <w:tab w:val="left" w:pos="1800"/>
          <w:tab w:val="left" w:pos="2160"/>
        </w:tabs>
        <w:ind w:firstLine="720"/>
      </w:pPr>
    </w:p>
    <w:p w:rsidR="00000000" w:rsidRDefault="00C40079">
      <w:pPr>
        <w:pStyle w:val="Level2"/>
        <w:numPr>
          <w:ilvl w:val="0"/>
          <w:numId w:val="17"/>
        </w:numPr>
        <w:tabs>
          <w:tab w:val="clear" w:pos="360"/>
          <w:tab w:val="left" w:pos="720"/>
          <w:tab w:val="left" w:pos="1080"/>
          <w:tab w:val="left" w:pos="1440"/>
          <w:tab w:val="left" w:pos="1800"/>
          <w:tab w:val="left" w:pos="2160"/>
        </w:tabs>
        <w:ind w:left="720"/>
      </w:pPr>
      <w:r>
        <w:t>The USEPA Mobile Source Emission Factor Model, MOBILE5a;</w:t>
      </w:r>
    </w:p>
    <w:p w:rsidR="00000000" w:rsidRDefault="00C40079">
      <w:pPr>
        <w:pStyle w:val="Level2"/>
        <w:numPr>
          <w:ilvl w:val="0"/>
          <w:numId w:val="17"/>
        </w:numPr>
        <w:tabs>
          <w:tab w:val="clear" w:pos="360"/>
          <w:tab w:val="left" w:pos="720"/>
          <w:tab w:val="left" w:pos="1080"/>
          <w:tab w:val="left" w:pos="1440"/>
          <w:tab w:val="left" w:pos="1800"/>
          <w:tab w:val="left" w:pos="2160"/>
        </w:tabs>
        <w:ind w:left="720"/>
      </w:pPr>
      <w:r>
        <w:lastRenderedPageBreak/>
        <w:t>The latest version of the line-source dispersion model, CAL3QHC version 2.0; and,</w:t>
      </w:r>
    </w:p>
    <w:p w:rsidR="00000000" w:rsidRDefault="00C40079">
      <w:pPr>
        <w:pStyle w:val="Level2"/>
        <w:numPr>
          <w:ilvl w:val="0"/>
          <w:numId w:val="10"/>
        </w:numPr>
        <w:tabs>
          <w:tab w:val="clear" w:pos="360"/>
          <w:tab w:val="left" w:pos="720"/>
          <w:tab w:val="left" w:pos="1080"/>
          <w:tab w:val="left" w:pos="1440"/>
          <w:tab w:val="left" w:pos="1800"/>
          <w:tab w:val="left" w:pos="2160"/>
        </w:tabs>
        <w:ind w:left="720"/>
      </w:pPr>
      <w:r>
        <w:t>The travel demand model for the northern</w:t>
      </w:r>
      <w:r>
        <w:t xml:space="preserve"> part of the State.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These latest planning tools were used for the 1994 carbon monoxide SIP revision, in part, to ensure that the methodologies and assumptions used to calculate emission reductions for SIP purposes were consistent with those used to calc</w:t>
      </w:r>
      <w:r>
        <w:t>ulate emission reductions for Transportation Improvement Program conformity purposes.</w:t>
      </w:r>
    </w:p>
    <w:p w:rsidR="00000000" w:rsidRDefault="00C40079">
      <w:pPr>
        <w:pStyle w:val="Level2"/>
        <w:tabs>
          <w:tab w:val="left" w:pos="720"/>
          <w:tab w:val="left" w:pos="1080"/>
          <w:tab w:val="left" w:pos="1440"/>
          <w:tab w:val="left" w:pos="1800"/>
          <w:tab w:val="left" w:pos="2160"/>
        </w:tabs>
      </w:pPr>
      <w:r>
        <w:t xml:space="preserve"> </w:t>
      </w:r>
    </w:p>
    <w:p w:rsidR="00000000" w:rsidRDefault="00C40079">
      <w:pPr>
        <w:pStyle w:val="Level2"/>
        <w:tabs>
          <w:tab w:val="left" w:pos="720"/>
          <w:tab w:val="left" w:pos="1080"/>
          <w:tab w:val="left" w:pos="1440"/>
          <w:tab w:val="left" w:pos="1800"/>
          <w:tab w:val="left" w:pos="2160"/>
        </w:tabs>
      </w:pPr>
      <w:r>
        <w:t>The combined application of these updated tools resulted in an increase in the emission inventory, increased benefits for the control programs, a lower vehicle miles tr</w:t>
      </w:r>
      <w:r>
        <w:t>aveled growth rate, and a higher predicted concentration at each intersection examined in the attainment demonstration.  The 1994 attainment demonstration also included the effects of the State’s wintertime oxygenated fuel and enhanced I/M programs.  Howev</w:t>
      </w:r>
      <w:r>
        <w:t>er, the conclusion remained the same as in the 1992 SIP revision; that is, the carbon monoxide NAAQS would be attained by December 31, 1995.</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rPr>
          <w:u w:val="single"/>
        </w:rPr>
      </w:pPr>
      <w:r>
        <w:rPr>
          <w:u w:val="single"/>
        </w:rPr>
        <w:t>1995 Carbon Monoxide SIP Revision</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In 1995, the State of New Jersey applied to the USEPA for redesignation of both</w:t>
      </w:r>
      <w:r>
        <w:t xml:space="preserve"> the Camden County carbon monoxide nonattainment area and the nine not-classified carbon monoxide areas to attainment of the carbon monoxide NAAQS.  The USEPA approved these redesignation requests in a Federal Register notice published on December 7, 1995,</w:t>
      </w:r>
      <w:r>
        <w:t xml:space="preserve"> that became effective on February 7, 1996.</w:t>
      </w:r>
      <w:r>
        <w:rPr>
          <w:rStyle w:val="FootnoteReference"/>
          <w:sz w:val="20"/>
          <w:vertAlign w:val="superscript"/>
        </w:rPr>
        <w:footnoteReference w:id="72"/>
      </w:r>
      <w:r>
        <w:t xml:space="preserve">  This approval was re-affirmed by the USEPA in a Federal Register notice published on June 28, 1996 that incorporated the USEPA’s responses to comments received during the public comment period.</w:t>
      </w:r>
      <w:r>
        <w:rPr>
          <w:rStyle w:val="FootnoteReference"/>
          <w:sz w:val="20"/>
          <w:vertAlign w:val="superscript"/>
        </w:rPr>
        <w:footnoteReference w:id="73"/>
      </w:r>
      <w:r>
        <w:t xml:space="preserve">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rPr>
          <w:u w:val="single"/>
        </w:rPr>
      </w:pPr>
      <w:r>
        <w:rPr>
          <w:u w:val="single"/>
        </w:rPr>
        <w:t xml:space="preserve">1996 Request </w:t>
      </w:r>
      <w:r>
        <w:rPr>
          <w:u w:val="single"/>
        </w:rPr>
        <w:t>for an Extension of the Attainment Date</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It was not possible to demonstrate two years of non-violating air quality data by the December 31, 1995 attainment deadline due to carbon monoxide NAAQS violations in 1994.  Therefore, the State had the choice of ei</w:t>
      </w:r>
      <w:r>
        <w:t>ther allowing the area to be reclassified to the higher classification of serious carbon monoxide nonattainment or applying to the USEPA for an extension of the attainment date as allowed by the Clean Air Act.</w:t>
      </w:r>
      <w:r>
        <w:rPr>
          <w:rStyle w:val="FootnoteReference"/>
          <w:sz w:val="20"/>
          <w:vertAlign w:val="superscript"/>
        </w:rPr>
        <w:footnoteReference w:id="74"/>
      </w:r>
      <w:r>
        <w:t xml:space="preserve">  On April 24, 1996, the State submitted a req</w:t>
      </w:r>
      <w:r>
        <w:t>uest to the USEPA for a 1-year extension of the attainment date to December 31, 1996.</w:t>
      </w:r>
      <w:r>
        <w:rPr>
          <w:rStyle w:val="FootnoteReference"/>
          <w:sz w:val="20"/>
          <w:vertAlign w:val="superscript"/>
        </w:rPr>
        <w:footnoteReference w:id="75"/>
      </w:r>
      <w:r>
        <w:t xml:space="preserve">  New York and Connecticut, the two other states that comprise the New York City/Northern New Jersey/Long Island carbon monoxide nonattainment area, subsequently submitte</w:t>
      </w:r>
      <w:r>
        <w:t>d letters to the USEPA on July 31, 1996, and June 27, 1996, respectively, concurring with New Jersey’s request for an attainment date extension.  The northeastern carbon monoxide nonattainment area met the Clean Air Act’s requirements and the USEPA’s crite</w:t>
      </w:r>
      <w:r>
        <w:t>ria for obtaining an extension of an attainment date for a moderate nonattainment area in that it:</w:t>
      </w:r>
    </w:p>
    <w:p w:rsidR="00000000" w:rsidRDefault="00C40079">
      <w:pPr>
        <w:pStyle w:val="Level2"/>
        <w:tabs>
          <w:tab w:val="left" w:pos="720"/>
          <w:tab w:val="left" w:pos="1080"/>
          <w:tab w:val="left" w:pos="1440"/>
          <w:tab w:val="left" w:pos="1800"/>
          <w:tab w:val="left" w:pos="2160"/>
        </w:tabs>
        <w:ind w:firstLine="720"/>
      </w:pPr>
    </w:p>
    <w:p w:rsidR="00000000" w:rsidRDefault="00C40079">
      <w:pPr>
        <w:pStyle w:val="Level2"/>
        <w:numPr>
          <w:ilvl w:val="0"/>
          <w:numId w:val="18"/>
        </w:numPr>
        <w:tabs>
          <w:tab w:val="clear" w:pos="360"/>
          <w:tab w:val="left" w:pos="720"/>
          <w:tab w:val="left" w:pos="1080"/>
          <w:tab w:val="left" w:pos="1440"/>
          <w:tab w:val="left" w:pos="1800"/>
          <w:tab w:val="left" w:pos="2160"/>
        </w:tabs>
        <w:ind w:left="720"/>
      </w:pPr>
      <w:r>
        <w:lastRenderedPageBreak/>
        <w:t>Had complied with all the requirements and commitments pertaining to the area in the applicable implementation plan; and,</w:t>
      </w:r>
    </w:p>
    <w:p w:rsidR="00000000" w:rsidRDefault="00C40079">
      <w:pPr>
        <w:pStyle w:val="Level2"/>
        <w:numPr>
          <w:ilvl w:val="0"/>
          <w:numId w:val="18"/>
        </w:numPr>
        <w:tabs>
          <w:tab w:val="clear" w:pos="360"/>
          <w:tab w:val="left" w:pos="720"/>
          <w:tab w:val="left" w:pos="1080"/>
          <w:tab w:val="left" w:pos="1440"/>
          <w:tab w:val="left" w:pos="1800"/>
          <w:tab w:val="left" w:pos="2160"/>
        </w:tabs>
        <w:ind w:left="720"/>
      </w:pPr>
      <w:r>
        <w:t>Had no more than one exceedance of</w:t>
      </w:r>
      <w:r>
        <w:t xml:space="preserve"> the carbon monoxide NAAQS at any monitoring site in the year preceding the extension year, that is, 1995.</w:t>
      </w:r>
      <w:r>
        <w:rPr>
          <w:rStyle w:val="FootnoteReference"/>
          <w:sz w:val="20"/>
          <w:vertAlign w:val="superscript"/>
        </w:rPr>
        <w:footnoteReference w:id="76"/>
      </w:r>
      <w:r>
        <w:rPr>
          <w:sz w:val="20"/>
          <w:vertAlign w:val="superscript"/>
        </w:rPr>
        <w:t>,</w:t>
      </w:r>
      <w:r>
        <w:rPr>
          <w:rStyle w:val="FootnoteReference"/>
          <w:sz w:val="20"/>
          <w:vertAlign w:val="superscript"/>
        </w:rPr>
        <w:footnoteReference w:id="77"/>
      </w:r>
      <w:r>
        <w:t xml:space="preserve">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USEPA approved New Jersey’s and the other states’ 1-year attainment date extension requests on November 5, 1996, at 61 FR 56897.</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rPr>
          <w:u w:val="single"/>
        </w:rPr>
      </w:pPr>
      <w:r>
        <w:rPr>
          <w:u w:val="single"/>
        </w:rPr>
        <w:t>1998 Carb</w:t>
      </w:r>
      <w:r>
        <w:rPr>
          <w:u w:val="single"/>
        </w:rPr>
        <w:t>on Monoxide SIP Revision</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On July 21, 1997, the State proposed regulatory amendments to repeal its wintertime oxygenated fuel requirements for Northern New Jersey in the New Jersey Register (29 NJR 3222(a)).  In addition to this proposed rulemaking, the NJ</w:t>
      </w:r>
      <w:r>
        <w:t>DEP also prepared a proposed carbon monoxide SIP revision that, in part:</w:t>
      </w:r>
    </w:p>
    <w:p w:rsidR="00000000" w:rsidRDefault="00C40079">
      <w:pPr>
        <w:pStyle w:val="Level2"/>
        <w:tabs>
          <w:tab w:val="left" w:pos="720"/>
          <w:tab w:val="left" w:pos="1080"/>
          <w:tab w:val="left" w:pos="1440"/>
          <w:tab w:val="left" w:pos="1800"/>
          <w:tab w:val="left" w:pos="2160"/>
        </w:tabs>
        <w:ind w:firstLine="720"/>
      </w:pPr>
    </w:p>
    <w:p w:rsidR="00000000" w:rsidRDefault="00C40079">
      <w:pPr>
        <w:pStyle w:val="Level2"/>
        <w:numPr>
          <w:ilvl w:val="0"/>
          <w:numId w:val="19"/>
        </w:numPr>
        <w:tabs>
          <w:tab w:val="clear" w:pos="360"/>
          <w:tab w:val="left" w:pos="720"/>
          <w:tab w:val="left" w:pos="1080"/>
          <w:tab w:val="left" w:pos="1440"/>
          <w:tab w:val="left" w:pos="1800"/>
          <w:tab w:val="left" w:pos="2160"/>
        </w:tabs>
        <w:ind w:left="720"/>
      </w:pPr>
      <w:r>
        <w:t>Demonstrated that the New Jersey portion of the New York City/Northern New Jersey/Long Island carbon monoxide nonattainment area had attained the carbon monoxide NAAQS;</w:t>
      </w:r>
    </w:p>
    <w:p w:rsidR="00000000" w:rsidRDefault="00C40079">
      <w:pPr>
        <w:pStyle w:val="Level2"/>
        <w:numPr>
          <w:ilvl w:val="0"/>
          <w:numId w:val="19"/>
        </w:numPr>
        <w:tabs>
          <w:tab w:val="clear" w:pos="360"/>
          <w:tab w:val="left" w:pos="720"/>
          <w:tab w:val="left" w:pos="1080"/>
          <w:tab w:val="left" w:pos="1440"/>
          <w:tab w:val="left" w:pos="1800"/>
          <w:tab w:val="left" w:pos="2160"/>
        </w:tabs>
        <w:ind w:left="720"/>
      </w:pPr>
      <w:r>
        <w:t>Requested tha</w:t>
      </w:r>
      <w:r>
        <w:t>t, based on this attainment demonstration and a comprehensive plan to maintain the standard for at least the next ten years, the New Jersey portion of the multi-state nonattainment area be redesignated to attainment; and,</w:t>
      </w:r>
    </w:p>
    <w:p w:rsidR="00000000" w:rsidRDefault="00C40079">
      <w:pPr>
        <w:pStyle w:val="Level2"/>
        <w:numPr>
          <w:ilvl w:val="0"/>
          <w:numId w:val="19"/>
        </w:numPr>
        <w:tabs>
          <w:tab w:val="clear" w:pos="360"/>
          <w:tab w:val="left" w:pos="720"/>
          <w:tab w:val="left" w:pos="1080"/>
          <w:tab w:val="left" w:pos="1440"/>
          <w:tab w:val="left" w:pos="1800"/>
          <w:tab w:val="left" w:pos="2160"/>
        </w:tabs>
        <w:ind w:left="720"/>
      </w:pPr>
      <w:r>
        <w:t>Removed the State’s wintertime oxy</w:t>
      </w:r>
      <w:r>
        <w:t xml:space="preserve">genated fuel program from New Jersey’s carbon monoxide SIP.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 xml:space="preserve">A hearing to take public comment on both the rulemaking proposal and the SIP revision was held on August 11, 1997, and written comments were accepted until close of business, August 20, 1997.  </w:t>
      </w:r>
      <w:r>
        <w:t>Based upon comments received during the comment period and subsequent conversations with the USEPA and the other states in the multi-state nonattainment area, the State decided, on August 7, 1998, to submit only portions of the proposed carbon monoxide SIP</w:t>
      </w:r>
      <w:r>
        <w:t xml:space="preserve"> revision to the USEPA.  The State subsequently submitted the entire proposal except for:</w:t>
      </w: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20"/>
        </w:numPr>
        <w:tabs>
          <w:tab w:val="clear" w:pos="360"/>
          <w:tab w:val="left" w:pos="720"/>
          <w:tab w:val="left" w:pos="1080"/>
          <w:tab w:val="left" w:pos="1440"/>
          <w:tab w:val="left" w:pos="1800"/>
          <w:tab w:val="left" w:pos="2160"/>
        </w:tabs>
        <w:ind w:left="720"/>
      </w:pPr>
      <w:r>
        <w:t>The maintenance plan (which demonstrated that New Jersey would continue to maintain the carbon monoxide NAAQS until the year 2009 and discussed the contingency measu</w:t>
      </w:r>
      <w:r>
        <w:t>re(s) that would be implemented should New Jersey again violate the NAAQS); and,</w:t>
      </w:r>
    </w:p>
    <w:p w:rsidR="00000000" w:rsidRDefault="00C40079">
      <w:pPr>
        <w:pStyle w:val="Level2"/>
        <w:numPr>
          <w:ilvl w:val="0"/>
          <w:numId w:val="20"/>
        </w:numPr>
        <w:tabs>
          <w:tab w:val="clear" w:pos="360"/>
          <w:tab w:val="left" w:pos="720"/>
          <w:tab w:val="left" w:pos="1080"/>
          <w:tab w:val="left" w:pos="1440"/>
          <w:tab w:val="left" w:pos="1800"/>
          <w:tab w:val="left" w:pos="2160"/>
        </w:tabs>
        <w:ind w:left="720"/>
      </w:pPr>
      <w:r>
        <w:t xml:space="preserve">The request that the USEPA redesignate the northeastern nonattainment area to attainment (the “redesignation request”).  </w:t>
      </w:r>
    </w:p>
    <w:p w:rsidR="00000000" w:rsidRDefault="00C40079">
      <w:pPr>
        <w:pStyle w:val="Level2"/>
        <w:tabs>
          <w:tab w:val="left" w:pos="720"/>
          <w:tab w:val="left" w:pos="1080"/>
          <w:tab w:val="left" w:pos="1440"/>
          <w:tab w:val="left" w:pos="1800"/>
          <w:tab w:val="left" w:pos="2160"/>
        </w:tabs>
      </w:pPr>
      <w:r>
        <w:br w:type="page"/>
      </w:r>
      <w:r>
        <w:lastRenderedPageBreak/>
        <w:t>In that submittal, the State also committed to revis</w:t>
      </w:r>
      <w:r>
        <w:t>e its transportation conformity emission budget once the USEPA took action on the SIP revision.</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On August 17, 1998, the NJDEP adopted its regulatory proposal calling for the removal of the wintertime oxygenated fuel program in Northern New Jersey.</w:t>
      </w:r>
      <w:r>
        <w:rPr>
          <w:rStyle w:val="FootnoteReference"/>
          <w:sz w:val="20"/>
          <w:vertAlign w:val="superscript"/>
        </w:rPr>
        <w:footnoteReference w:id="78"/>
      </w:r>
      <w:r>
        <w:t xml:space="preserve">  On No</w:t>
      </w:r>
      <w:r>
        <w:t>vember 22, 1999, the USEPA determined that the New York City/Northern New Jersey/Long Island carbon monoxide area had attained the carbon monoxide NAAQS.</w:t>
      </w:r>
      <w:r>
        <w:rPr>
          <w:rStyle w:val="FootnoteReference"/>
          <w:sz w:val="20"/>
          <w:vertAlign w:val="superscript"/>
        </w:rPr>
        <w:footnoteReference w:id="79"/>
      </w:r>
      <w:r>
        <w:t xml:space="preserve">  The USEPA also approved the State’s request to remove New Jersey’s oxygenated gasoline program from </w:t>
      </w:r>
      <w:r>
        <w:t>its SIP.</w:t>
      </w:r>
      <w:r>
        <w:rPr>
          <w:rStyle w:val="FootnoteReference"/>
          <w:sz w:val="20"/>
          <w:vertAlign w:val="superscript"/>
        </w:rPr>
        <w:footnoteReference w:id="80"/>
      </w:r>
      <w:r>
        <w:t xml:space="preserve">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rPr>
          <w:u w:val="single"/>
        </w:rPr>
      </w:pPr>
      <w:r>
        <w:rPr>
          <w:u w:val="single"/>
        </w:rPr>
        <w:t>2002 Redesignation Request and Maintenance Plan for the New Jersey Portion of the New York City/Northern New Jersey/Long Island Carbon Monoxide Nonattainment Area</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In 2002, New Jersey submitted a request to the USEPA to redesignate the northern</w:t>
      </w:r>
      <w:r>
        <w:t xml:space="preserve"> carbon monoxide nonattainment area to attainment.</w:t>
      </w:r>
      <w:r>
        <w:rPr>
          <w:rStyle w:val="FootnoteReference"/>
          <w:sz w:val="20"/>
          <w:vertAlign w:val="superscript"/>
        </w:rPr>
        <w:footnoteReference w:id="81"/>
      </w:r>
      <w:r>
        <w:t xml:space="preserve">  This SIP revision contained:</w:t>
      </w: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21"/>
        </w:numPr>
        <w:tabs>
          <w:tab w:val="clear" w:pos="360"/>
          <w:tab w:val="left" w:pos="720"/>
          <w:tab w:val="left" w:pos="1080"/>
          <w:tab w:val="left" w:pos="1440"/>
          <w:tab w:val="left" w:pos="1800"/>
          <w:tab w:val="left" w:pos="2160"/>
        </w:tabs>
        <w:ind w:left="720"/>
      </w:pPr>
      <w:r>
        <w:t>Updated air quality monitoring data that demonstrated that measured carbon monoxide levels continued to remain below standards;</w:t>
      </w:r>
    </w:p>
    <w:p w:rsidR="00000000" w:rsidRDefault="00C40079">
      <w:pPr>
        <w:pStyle w:val="Level2"/>
        <w:numPr>
          <w:ilvl w:val="0"/>
          <w:numId w:val="21"/>
        </w:numPr>
        <w:tabs>
          <w:tab w:val="clear" w:pos="360"/>
          <w:tab w:val="left" w:pos="720"/>
          <w:tab w:val="left" w:pos="1080"/>
          <w:tab w:val="left" w:pos="1440"/>
          <w:tab w:val="left" w:pos="1800"/>
          <w:tab w:val="left" w:pos="2160"/>
        </w:tabs>
        <w:ind w:left="720"/>
      </w:pPr>
      <w:r>
        <w:t>A maintenance plan that included control meas</w:t>
      </w:r>
      <w:r>
        <w:t>ures, transportation conformity emission budgets, and a contingency plan; and,</w:t>
      </w:r>
    </w:p>
    <w:p w:rsidR="00000000" w:rsidRDefault="00C40079">
      <w:pPr>
        <w:pStyle w:val="Level2"/>
        <w:numPr>
          <w:ilvl w:val="0"/>
          <w:numId w:val="21"/>
        </w:numPr>
        <w:tabs>
          <w:tab w:val="clear" w:pos="360"/>
          <w:tab w:val="left" w:pos="720"/>
          <w:tab w:val="left" w:pos="1080"/>
          <w:tab w:val="left" w:pos="1440"/>
          <w:tab w:val="left" w:pos="1800"/>
          <w:tab w:val="left" w:pos="2160"/>
        </w:tabs>
        <w:ind w:left="720"/>
      </w:pPr>
      <w:r>
        <w:t xml:space="preserve">Other information that supported the Request for Redesignation.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air quality monitoring data showed attainment with the health-based carbon monoxide NAAQS since 1996, while</w:t>
      </w:r>
      <w:r>
        <w:t xml:space="preserve"> the carbon monoxide inventory projections for the years 2007 and 2014 that were included in the maintenance plan showed reductions in emissions relative to the emissions estimated for 1996.</w:t>
      </w:r>
    </w:p>
    <w:p w:rsidR="00000000" w:rsidRDefault="00C40079">
      <w:pPr>
        <w:pStyle w:val="Level2"/>
        <w:tabs>
          <w:tab w:val="left" w:pos="720"/>
          <w:tab w:val="left" w:pos="1080"/>
          <w:tab w:val="left" w:pos="1440"/>
          <w:tab w:val="left" w:pos="1800"/>
          <w:tab w:val="left" w:pos="2160"/>
        </w:tabs>
      </w:pPr>
      <w:r>
        <w:t xml:space="preserve"> </w:t>
      </w:r>
    </w:p>
    <w:p w:rsidR="00000000" w:rsidRDefault="00C40079">
      <w:pPr>
        <w:pStyle w:val="Level2"/>
        <w:tabs>
          <w:tab w:val="left" w:pos="720"/>
          <w:tab w:val="left" w:pos="1080"/>
          <w:tab w:val="left" w:pos="1440"/>
          <w:tab w:val="left" w:pos="1800"/>
          <w:tab w:val="left" w:pos="2160"/>
        </w:tabs>
      </w:pPr>
      <w:r>
        <w:t>The USEPA approved New Jersey's redesignation request and maint</w:t>
      </w:r>
      <w:r>
        <w:t xml:space="preserve">enance plan on August 23, 2002 at 67 FR 54574.  Included in the approval were transportation conformity emission budgets for 1997, 2007, and 2014.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rPr>
          <w:u w:val="single"/>
        </w:rPr>
      </w:pPr>
      <w:r>
        <w:rPr>
          <w:u w:val="single"/>
        </w:rPr>
        <w:t>2004 New Jersey Revised Motor Vehicle Transportation Conformity Emission Budgets Using the MOBILE6 Model</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I</w:t>
      </w:r>
      <w:r>
        <w:t>n 2004, New Jersey submitted a request to the USEPA for a SIP revision to establish updated transportation conformity emission budgets that incorporated new data and the use of the new USEPA motor vehicle emissions model, MOBILE6, that was required for use</w:t>
      </w:r>
      <w:r>
        <w:t xml:space="preserve"> in future conformity determinations for New Jersey.  Transportation conformity emission budgets for carbon monoxide, VOCs, and NO</w:t>
      </w:r>
      <w:r>
        <w:rPr>
          <w:vertAlign w:val="subscript"/>
        </w:rPr>
        <w:t>x</w:t>
      </w:r>
      <w:r>
        <w:t xml:space="preserve"> were updated to reflect the most recent version of the USEPA’s emission factor prediction model and the latest vehicle regis</w:t>
      </w:r>
      <w:r>
        <w:t xml:space="preserve">tration data.  The latest vehicle registration data were used to establish new estimates of the age distribution of New Jersey’s onroad motor vehicle fleet.  This SIP revision did not affect any of the planned or </w:t>
      </w:r>
      <w:r>
        <w:lastRenderedPageBreak/>
        <w:t>implemented control measures for carbon mon</w:t>
      </w:r>
      <w:r>
        <w:t>oxide, VOCs, and NO</w:t>
      </w:r>
      <w:r>
        <w:rPr>
          <w:vertAlign w:val="subscript"/>
        </w:rPr>
        <w:t>x</w:t>
      </w:r>
      <w:r>
        <w:t>.  In addition, the updated budgets did not indicate a need for any additional control measures for New Jersey to maintain attainment of the carbon monoxide NAAQS or reach attainment of the 1-hour ozone NAAQS.</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USEPA approved New Je</w:t>
      </w:r>
      <w:r>
        <w:t>rsey's SIP revision request on August 30, 2004 at 69 FR 52834-52836.</w:t>
      </w:r>
    </w:p>
    <w:p w:rsidR="00000000" w:rsidRDefault="00C40079">
      <w:pPr>
        <w:pStyle w:val="Level2"/>
        <w:tabs>
          <w:tab w:val="left" w:pos="720"/>
          <w:tab w:val="left" w:pos="1080"/>
          <w:tab w:val="left" w:pos="1440"/>
          <w:tab w:val="left" w:pos="1800"/>
          <w:tab w:val="left" w:pos="2160"/>
        </w:tabs>
        <w:jc w:val="center"/>
        <w:rPr>
          <w:b/>
          <w:sz w:val="28"/>
          <w:u w:val="single"/>
        </w:rPr>
      </w:pPr>
      <w:r>
        <w:br w:type="page"/>
      </w:r>
      <w:r>
        <w:rPr>
          <w:b/>
          <w:sz w:val="28"/>
          <w:u w:val="single"/>
        </w:rPr>
        <w:lastRenderedPageBreak/>
        <w:t>Appendix B</w:t>
      </w:r>
    </w:p>
    <w:p w:rsidR="00000000" w:rsidRDefault="00C40079">
      <w:pPr>
        <w:pStyle w:val="Level2"/>
        <w:tabs>
          <w:tab w:val="left" w:pos="720"/>
          <w:tab w:val="left" w:pos="1080"/>
          <w:tab w:val="left" w:pos="1440"/>
          <w:tab w:val="left" w:pos="1800"/>
          <w:tab w:val="left" w:pos="2160"/>
        </w:tabs>
        <w:jc w:val="center"/>
        <w:rPr>
          <w:b/>
          <w:sz w:val="28"/>
          <w:u w:val="single"/>
        </w:rPr>
      </w:pPr>
    </w:p>
    <w:p w:rsidR="00000000" w:rsidRDefault="00C40079">
      <w:pPr>
        <w:pStyle w:val="Level2"/>
        <w:widowControl/>
        <w:tabs>
          <w:tab w:val="left" w:pos="720"/>
          <w:tab w:val="left" w:pos="1080"/>
          <w:tab w:val="left" w:pos="1440"/>
          <w:tab w:val="left" w:pos="1800"/>
          <w:tab w:val="left" w:pos="2160"/>
        </w:tabs>
        <w:jc w:val="center"/>
        <w:rPr>
          <w:b/>
          <w:sz w:val="28"/>
          <w:u w:val="single"/>
        </w:rPr>
      </w:pPr>
      <w:bookmarkStart w:id="211" w:name="Ozone_History"/>
      <w:r>
        <w:rPr>
          <w:b/>
          <w:sz w:val="28"/>
          <w:u w:val="single"/>
        </w:rPr>
        <w:t>History of New Jersey’s Ozone State Implementation Plan</w:t>
      </w:r>
      <w:bookmarkEnd w:id="211"/>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widowControl/>
        <w:tabs>
          <w:tab w:val="left" w:pos="720"/>
          <w:tab w:val="left" w:pos="1080"/>
          <w:tab w:val="left" w:pos="1440"/>
          <w:tab w:val="left" w:pos="1800"/>
          <w:tab w:val="left" w:pos="2160"/>
        </w:tabs>
      </w:pPr>
      <w:r>
        <w:t>This appendix provides a brief history of the previous revisions to New Jersey's ozone SIP.</w:t>
      </w:r>
    </w:p>
    <w:p w:rsidR="00000000" w:rsidRDefault="00C40079">
      <w:pPr>
        <w:pStyle w:val="Level2"/>
        <w:widowControl/>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rPr>
          <w:u w:val="single"/>
        </w:rPr>
      </w:pPr>
      <w:r>
        <w:rPr>
          <w:u w:val="single"/>
        </w:rPr>
        <w:t>Attainment Demonstration</w:t>
      </w:r>
      <w:r>
        <w:rPr>
          <w:u w:val="single"/>
        </w:rPr>
        <w:t xml:space="preserve"> SIP History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On August 31, 1998, New Jersey submitted to the USEPA a SIP revision containing a demonstration of attainment of the 1-hour ozone NAAQS for the New York City/Northern New Jersey/Long Island and Philadelphia/Wilmington/Trenton nonattainment a</w:t>
      </w:r>
      <w:r>
        <w:t>reas.</w:t>
      </w:r>
      <w:r>
        <w:rPr>
          <w:rStyle w:val="FootnoteReference"/>
          <w:sz w:val="20"/>
          <w:vertAlign w:val="superscript"/>
        </w:rPr>
        <w:footnoteReference w:id="82"/>
      </w:r>
      <w:r>
        <w:t xml:space="preserve">  This original attainment demonstration submittal is hereafter referred to as the State’s Phase II Ozone SIP.  The Phase II Ozone SIP submittal provided for an attainment demonstration as required by 42 U.S.C. §7511a(c)(2)(A), §182(c)(2)(A) of the C</w:t>
      </w:r>
      <w:r>
        <w:t>lean Air Act and addressed the USEPA’s subsequent requirements regarding attainment demonstration for the 1-hour NAAQS for ozone.</w:t>
      </w:r>
      <w:r>
        <w:rPr>
          <w:rStyle w:val="FootnoteReference"/>
          <w:sz w:val="20"/>
          <w:vertAlign w:val="superscript"/>
        </w:rPr>
        <w:footnoteReference w:id="83"/>
      </w:r>
      <w:r>
        <w:rPr>
          <w:sz w:val="20"/>
          <w:vertAlign w:val="superscript"/>
        </w:rPr>
        <w:t>,</w:t>
      </w:r>
      <w:r>
        <w:rPr>
          <w:rStyle w:val="FootnoteReference"/>
          <w:sz w:val="20"/>
          <w:vertAlign w:val="superscript"/>
        </w:rPr>
        <w:footnoteReference w:id="84"/>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New Jersey used a "weight of evidence" to determine the emission reductions needed to attain the ozone standard.  A weight</w:t>
      </w:r>
      <w:r>
        <w:t xml:space="preserve"> of evidence analysis combines results from advanced photochemical grid models and the most recent air quality data to improve the estimate of emission reductions needed to attain.  The method used by New Jersey predicts future ozone concentrations from a </w:t>
      </w:r>
      <w:r>
        <w:t>baseline of actual historic air quality data and the ozone improvement predicted by the photochemical grid model.  The improvement is the model-predicted base year concentration divided by the model-predicted future attainment year concentration.  This met</w:t>
      </w:r>
      <w:r>
        <w:t>hod takes advantage of the fact that air quality models may be more accurate at calculating relative improvement in air quality as opposed to predicting an absolute concentration at a particular geographic site.</w:t>
      </w:r>
      <w:r>
        <w:rPr>
          <w:rStyle w:val="FootnoteReference"/>
          <w:sz w:val="20"/>
          <w:vertAlign w:val="superscript"/>
        </w:rPr>
        <w:footnoteReference w:id="85"/>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In addition to including a demonstration o</w:t>
      </w:r>
      <w:r>
        <w:t>f attainment of the 1-hour NAAQS for ozone for the New York City/Northern New Jersey/Long Island and Philadelphia/Wilmington/Trenton nonattainment areas and a list of the control measures adopted by the State to date, the Phase II Ozone SIP committed the S</w:t>
      </w:r>
      <w:r>
        <w:t>tate to:</w:t>
      </w: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22"/>
        </w:numPr>
        <w:tabs>
          <w:tab w:val="clear" w:pos="360"/>
          <w:tab w:val="left" w:pos="720"/>
          <w:tab w:val="left" w:pos="1080"/>
          <w:tab w:val="left" w:pos="1440"/>
          <w:tab w:val="left" w:pos="1800"/>
          <w:tab w:val="left" w:pos="2160"/>
        </w:tabs>
        <w:ind w:left="720" w:firstLine="0"/>
      </w:pPr>
      <w:r>
        <w:t>Submit post-1999 Rate of Progress Plans and any adopted regulations needed to achieve the post-1999 emission reductions by December 31, 2000;</w:t>
      </w:r>
    </w:p>
    <w:p w:rsidR="00000000" w:rsidRDefault="00C40079">
      <w:pPr>
        <w:pStyle w:val="Level2"/>
        <w:numPr>
          <w:ilvl w:val="0"/>
          <w:numId w:val="22"/>
        </w:numPr>
        <w:tabs>
          <w:tab w:val="clear" w:pos="360"/>
          <w:tab w:val="left" w:pos="720"/>
          <w:tab w:val="left" w:pos="1080"/>
          <w:tab w:val="left" w:pos="1440"/>
          <w:tab w:val="left" w:pos="1800"/>
          <w:tab w:val="left" w:pos="2160"/>
        </w:tabs>
        <w:ind w:left="720" w:firstLine="0"/>
      </w:pPr>
      <w:r>
        <w:t>Implement the New Jersey portion of the USEPA regional NO</w:t>
      </w:r>
      <w:r>
        <w:rPr>
          <w:vertAlign w:val="subscript"/>
        </w:rPr>
        <w:t>x</w:t>
      </w:r>
      <w:r>
        <w:t xml:space="preserve"> cap (NO</w:t>
      </w:r>
      <w:r>
        <w:rPr>
          <w:vertAlign w:val="subscript"/>
        </w:rPr>
        <w:t>x</w:t>
      </w:r>
      <w:r>
        <w:t xml:space="preserve"> SIP Call);</w:t>
      </w:r>
    </w:p>
    <w:p w:rsidR="00000000" w:rsidRDefault="00C40079">
      <w:pPr>
        <w:pStyle w:val="Level2"/>
        <w:numPr>
          <w:ilvl w:val="0"/>
          <w:numId w:val="22"/>
        </w:numPr>
        <w:tabs>
          <w:tab w:val="clear" w:pos="360"/>
          <w:tab w:val="left" w:pos="720"/>
          <w:tab w:val="left" w:pos="1080"/>
          <w:tab w:val="left" w:pos="1440"/>
          <w:tab w:val="left" w:pos="1800"/>
          <w:tab w:val="left" w:pos="2160"/>
        </w:tabs>
        <w:ind w:left="720" w:firstLine="0"/>
      </w:pPr>
      <w:r>
        <w:t>Undertake a midcourse rev</w:t>
      </w:r>
      <w:r>
        <w:t>iew and submit a report to the USEPA by December 31, 2002;</w:t>
      </w:r>
    </w:p>
    <w:p w:rsidR="00000000" w:rsidRDefault="00C40079">
      <w:pPr>
        <w:pStyle w:val="Level2"/>
        <w:numPr>
          <w:ilvl w:val="0"/>
          <w:numId w:val="22"/>
        </w:numPr>
        <w:tabs>
          <w:tab w:val="clear" w:pos="360"/>
          <w:tab w:val="left" w:pos="720"/>
          <w:tab w:val="left" w:pos="1080"/>
          <w:tab w:val="left" w:pos="1440"/>
          <w:tab w:val="left" w:pos="1800"/>
          <w:tab w:val="left" w:pos="2160"/>
        </w:tabs>
        <w:ind w:left="720" w:firstLine="0"/>
      </w:pPr>
      <w:r>
        <w:lastRenderedPageBreak/>
        <w:t>Evaluate additional control measures which are not currently implemented for potential future implementation; and,</w:t>
      </w:r>
    </w:p>
    <w:p w:rsidR="00000000" w:rsidRDefault="00C40079">
      <w:pPr>
        <w:pStyle w:val="Level2"/>
        <w:numPr>
          <w:ilvl w:val="0"/>
          <w:numId w:val="22"/>
        </w:numPr>
        <w:tabs>
          <w:tab w:val="clear" w:pos="360"/>
          <w:tab w:val="left" w:pos="720"/>
          <w:tab w:val="left" w:pos="1080"/>
          <w:tab w:val="left" w:pos="1440"/>
          <w:tab w:val="left" w:pos="1800"/>
          <w:tab w:val="left" w:pos="2160"/>
        </w:tabs>
        <w:ind w:left="720" w:firstLine="0"/>
      </w:pPr>
      <w:r>
        <w:t>Propose such reasonable and necessary control measures needed to address any short</w:t>
      </w:r>
      <w:r>
        <w:t>fall identified in the midcourse review which are necessary for attainment.</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 xml:space="preserve">In reviewing the attainment demonstrations submitted by New Jersey, as well as other states’ submittals (such as New York, Pennsylvania and Maryland), the USEPA performed its own </w:t>
      </w:r>
      <w:r>
        <w:t>analyses (also using the weight of evidence method but with a different base year and different modeling results) and determined that further emission reductions were necessary to insure attainment by the applicable dates.  For New Jersey, the USEPA’s anal</w:t>
      </w:r>
      <w:r>
        <w:t>yses results were reasonably similar to the uncertainty analysis results New Jersey presented in its Phase II Ozone SIP to quantify the uncertainties incorporated its air quality projections.  Therefore, considering both the USEPA and the prior state analy</w:t>
      </w:r>
      <w:r>
        <w:t>ses, the State revised its attainment demonstration to include a commitment to a process designed to secure New Jersey’s fair share of the additional emission reductions identified by the USEPA.</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On September 12, 2001, New Jersey submitted a SIP revision c</w:t>
      </w:r>
      <w:r>
        <w:t>ontaining an update to meeting the requirements of the alternative ozone attainment demonstration policy (Control Measures SIP).</w:t>
      </w:r>
      <w:r>
        <w:rPr>
          <w:rStyle w:val="FootnoteReference"/>
          <w:sz w:val="20"/>
          <w:vertAlign w:val="superscript"/>
        </w:rPr>
        <w:footnoteReference w:id="86"/>
      </w:r>
      <w:r>
        <w:t xml:space="preserve">  Specifically, this SIP revision provided:</w:t>
      </w:r>
    </w:p>
    <w:p w:rsidR="00000000" w:rsidRDefault="00C40079">
      <w:pPr>
        <w:pStyle w:val="Level2"/>
        <w:tabs>
          <w:tab w:val="left" w:pos="720"/>
          <w:tab w:val="left" w:pos="1080"/>
          <w:tab w:val="left" w:pos="1440"/>
          <w:tab w:val="left" w:pos="1800"/>
          <w:tab w:val="left" w:pos="2160"/>
        </w:tabs>
      </w:pPr>
    </w:p>
    <w:p w:rsidR="00000000" w:rsidRDefault="00C40079">
      <w:pPr>
        <w:pStyle w:val="Level2"/>
        <w:numPr>
          <w:ilvl w:val="0"/>
          <w:numId w:val="23"/>
        </w:numPr>
        <w:tabs>
          <w:tab w:val="clear" w:pos="360"/>
          <w:tab w:val="left" w:pos="720"/>
          <w:tab w:val="left" w:pos="1080"/>
          <w:tab w:val="left" w:pos="1440"/>
          <w:tab w:val="left" w:pos="1800"/>
          <w:tab w:val="left" w:pos="2160"/>
        </w:tabs>
        <w:ind w:left="720" w:firstLine="0"/>
      </w:pPr>
      <w:r>
        <w:t>An enforceable commitment by New Jersey to adopt sufficient measures to address it</w:t>
      </w:r>
      <w:r>
        <w:t>s fair share of the level of additional emission reductions identified by the USEPA, and to revise its Attainment Demonstration accordingly to reflect those measures;</w:t>
      </w:r>
      <w:r>
        <w:rPr>
          <w:rStyle w:val="FootnoteReference"/>
          <w:sz w:val="20"/>
          <w:vertAlign w:val="superscript"/>
        </w:rPr>
        <w:t xml:space="preserve"> </w:t>
      </w:r>
      <w:r>
        <w:rPr>
          <w:rStyle w:val="FootnoteReference"/>
          <w:sz w:val="20"/>
          <w:vertAlign w:val="superscript"/>
        </w:rPr>
        <w:footnoteReference w:id="87"/>
      </w:r>
      <w:r>
        <w:t xml:space="preserve"> </w:t>
      </w:r>
    </w:p>
    <w:p w:rsidR="00000000" w:rsidRDefault="00C40079">
      <w:pPr>
        <w:pStyle w:val="Level2"/>
        <w:numPr>
          <w:ilvl w:val="0"/>
          <w:numId w:val="23"/>
        </w:numPr>
        <w:tabs>
          <w:tab w:val="clear" w:pos="360"/>
          <w:tab w:val="left" w:pos="720"/>
          <w:tab w:val="left" w:pos="1080"/>
          <w:tab w:val="left" w:pos="1440"/>
          <w:tab w:val="left" w:pos="1800"/>
          <w:tab w:val="left" w:pos="2160"/>
        </w:tabs>
        <w:ind w:left="720" w:firstLine="0"/>
      </w:pPr>
      <w:r>
        <w:t>A revised transportation conformity emission budget that included the Tier 2 Motor Veh</w:t>
      </w:r>
      <w:r>
        <w:t>icle Standard/Low Sulfur Gasoline Program benefits;</w:t>
      </w:r>
    </w:p>
    <w:p w:rsidR="00000000" w:rsidRDefault="00C40079">
      <w:pPr>
        <w:pStyle w:val="Level2"/>
        <w:numPr>
          <w:ilvl w:val="0"/>
          <w:numId w:val="23"/>
        </w:numPr>
        <w:tabs>
          <w:tab w:val="clear" w:pos="360"/>
          <w:tab w:val="left" w:pos="720"/>
          <w:tab w:val="left" w:pos="1080"/>
          <w:tab w:val="left" w:pos="1440"/>
          <w:tab w:val="left" w:pos="1800"/>
          <w:tab w:val="left" w:pos="2160"/>
        </w:tabs>
        <w:ind w:left="720" w:firstLine="0"/>
      </w:pPr>
      <w:r>
        <w:t xml:space="preserve">An enforceable commitment to revise the New Jersey Ozone Attainment Demonstration to recalculate the transportation conformity emission budgets to reflect any additional measures adopted (beyond the Tier </w:t>
      </w:r>
      <w:r>
        <w:t>2 Motor Vehicle Standard/Low Sulfur Program) pertaining to motor vehicles;</w:t>
      </w:r>
    </w:p>
    <w:p w:rsidR="00000000" w:rsidRDefault="00C40079">
      <w:pPr>
        <w:pStyle w:val="Level2"/>
        <w:numPr>
          <w:ilvl w:val="0"/>
          <w:numId w:val="23"/>
        </w:numPr>
        <w:tabs>
          <w:tab w:val="clear" w:pos="360"/>
          <w:tab w:val="left" w:pos="720"/>
          <w:tab w:val="left" w:pos="1080"/>
          <w:tab w:val="left" w:pos="1440"/>
          <w:tab w:val="left" w:pos="1800"/>
          <w:tab w:val="left" w:pos="2160"/>
        </w:tabs>
        <w:ind w:left="720" w:firstLine="0"/>
      </w:pPr>
      <w:r>
        <w:t>An enforceable commitment to revise the New Jersey Ozone Attainment Demonstration to recalculate the transportation conformity emission budgets, within one year after the MOBILE6 mo</w:t>
      </w:r>
      <w:r>
        <w:t xml:space="preserve">del is released and required for use in the development of SIPs; </w:t>
      </w:r>
    </w:p>
    <w:p w:rsidR="00000000" w:rsidRDefault="00C40079">
      <w:pPr>
        <w:pStyle w:val="Level2"/>
        <w:numPr>
          <w:ilvl w:val="0"/>
          <w:numId w:val="23"/>
        </w:numPr>
        <w:tabs>
          <w:tab w:val="clear" w:pos="360"/>
          <w:tab w:val="left" w:pos="720"/>
          <w:tab w:val="left" w:pos="1080"/>
          <w:tab w:val="left" w:pos="1440"/>
          <w:tab w:val="left" w:pos="1800"/>
          <w:tab w:val="left" w:pos="2160"/>
        </w:tabs>
        <w:ind w:left="720" w:firstLine="0"/>
      </w:pPr>
      <w:r>
        <w:t>A list of possible additional control measures from which a suite of measures can be drawn that would be expected to meet New Jersey's fair share of the USEPA – identified emission reduction</w:t>
      </w:r>
      <w:r>
        <w:t xml:space="preserve"> shortfall; and,</w:t>
      </w:r>
    </w:p>
    <w:p w:rsidR="00000000" w:rsidRDefault="00C40079">
      <w:pPr>
        <w:pStyle w:val="Level2"/>
        <w:numPr>
          <w:ilvl w:val="0"/>
          <w:numId w:val="23"/>
        </w:numPr>
        <w:tabs>
          <w:tab w:val="clear" w:pos="360"/>
          <w:tab w:val="left" w:pos="720"/>
          <w:tab w:val="left" w:pos="1080"/>
          <w:tab w:val="left" w:pos="1440"/>
          <w:tab w:val="left" w:pos="1800"/>
          <w:tab w:val="left" w:pos="2160"/>
        </w:tabs>
        <w:ind w:left="720" w:firstLine="0"/>
      </w:pPr>
      <w:r>
        <w:t>An enforceable commitment to perform a midcourse review by December of 2003 that was subsequently changed to December of 2004.</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control measure SIP included the following additional rules that implemented control measures: NO</w:t>
      </w:r>
      <w:r>
        <w:rPr>
          <w:vertAlign w:val="subscript"/>
        </w:rPr>
        <w:t>x</w:t>
      </w:r>
      <w:r>
        <w:t xml:space="preserve"> rule, co</w:t>
      </w:r>
      <w:r>
        <w:t xml:space="preserve">nsumer products rule, portable fuel containers rule, architectural and </w:t>
      </w:r>
      <w:r>
        <w:lastRenderedPageBreak/>
        <w:t>industrial maintenance coatings rule, mobile equipment refinishing rule, and solvent cleaning operations rule.  The projected emission benefits from these rules just covered the USEPA i</w:t>
      </w:r>
      <w:r>
        <w:t xml:space="preserve">dentified shortfall for the Philadelphia/Wilmington/Trenton nonattainment area and more than covered the USEPA identified shortfall for the New York City/Northern New Jersey/Long Island nonattainment area.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rPr>
          <w:u w:val="single"/>
        </w:rPr>
      </w:pPr>
      <w:r>
        <w:rPr>
          <w:u w:val="single"/>
        </w:rPr>
        <w:t xml:space="preserve">Rate of Progress SIP History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State submit</w:t>
      </w:r>
      <w:r>
        <w:t>ted its original 1996 15-percent Rate of Progress plans to the USEPA on November 15, 1993.</w:t>
      </w:r>
      <w:r>
        <w:rPr>
          <w:rStyle w:val="FootnoteReference"/>
          <w:sz w:val="20"/>
          <w:vertAlign w:val="superscript"/>
        </w:rPr>
        <w:footnoteReference w:id="88"/>
      </w:r>
      <w:r>
        <w:t xml:space="preserve">  Subsequently, on December 31, 1996, New Jersey submitted to the USEPA, as part of its Phase I Ozone SIP submittal, a revision which updated its 1993 15-percent Rat</w:t>
      </w:r>
      <w:r>
        <w:t>e of Progress plans and included its 1999 24-percent Rate of Progress plans to the USEPA.</w:t>
      </w:r>
      <w:r>
        <w:rPr>
          <w:rStyle w:val="FootnoteReference"/>
          <w:sz w:val="20"/>
          <w:vertAlign w:val="superscript"/>
        </w:rPr>
        <w:footnoteReference w:id="89"/>
      </w:r>
      <w:r>
        <w:t xml:space="preserve">  The USEPA granted conditional interim approval to New Jersey’s Phase I Ozone SIP submittal on June 30, 1997.</w:t>
      </w:r>
      <w:r>
        <w:rPr>
          <w:rStyle w:val="FootnoteReference"/>
          <w:sz w:val="20"/>
          <w:vertAlign w:val="superscript"/>
        </w:rPr>
        <w:footnoteReference w:id="90"/>
      </w:r>
      <w:r>
        <w:t xml:space="preserve">  The USEPA’s approval of New Jersey’s Phase I Ozone SI</w:t>
      </w:r>
      <w:r>
        <w:t>P was conditional based on the modeling contained in the 15-percent and 24-percent Rate of Progress Plans.</w:t>
      </w:r>
      <w:r>
        <w:rPr>
          <w:rStyle w:val="FootnoteReference"/>
          <w:sz w:val="20"/>
          <w:vertAlign w:val="superscript"/>
        </w:rPr>
        <w:footnoteReference w:id="91"/>
      </w:r>
      <w:r>
        <w:t xml:space="preserve">  On December 12, 1997, the USEPA disapproved the 15-percent Rate of Progress Plans’ portion of New Jersey’s Phase I Ozone SIP due to the realization</w:t>
      </w:r>
      <w:r>
        <w:t xml:space="preserve"> that the benefits claimed in these plans for the State’s enhanced I/M program would not be obtained.</w:t>
      </w:r>
      <w:r>
        <w:rPr>
          <w:rStyle w:val="FootnoteReference"/>
          <w:sz w:val="20"/>
          <w:vertAlign w:val="superscript"/>
        </w:rPr>
        <w:footnoteReference w:id="92"/>
      </w:r>
      <w:r>
        <w:t xml:space="preserve"> </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On February 5, 1999, the State submitted revised 15-percent Rate of Progress and 24-percent Rate of Progress plans that no longer relied on the benefit</w:t>
      </w:r>
      <w:r>
        <w:t>s anticipated from the enhanced I/M program.  These revised plans were approved by the USEPA on April 23, 1999.</w:t>
      </w:r>
      <w:r>
        <w:rPr>
          <w:rStyle w:val="FootnoteReference"/>
          <w:sz w:val="20"/>
          <w:vertAlign w:val="superscript"/>
        </w:rPr>
        <w:footnoteReference w:id="93"/>
      </w:r>
      <w:r>
        <w:t xml:space="preserve">  On December 13, 1999, the State began implementation of its enhanced I/M program.</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On March 31, 2001, New Jersey submitted a SIP revision cont</w:t>
      </w:r>
      <w:r>
        <w:t>aining the actual 1996 inventory and Rate of Progress plans for 2002, 2005 and 2007.</w:t>
      </w:r>
      <w:r>
        <w:rPr>
          <w:rStyle w:val="FootnoteReference"/>
          <w:sz w:val="20"/>
          <w:vertAlign w:val="superscript"/>
        </w:rPr>
        <w:footnoteReference w:id="94"/>
      </w:r>
      <w:r>
        <w:t xml:space="preserve">  The Rate of Progress SIP contained the remaining Rate of Progress plans for each milestone year up to and including the attainment years for each applicable nonattainmen</w:t>
      </w:r>
      <w:r>
        <w:t xml:space="preserve">t area.  Using control measures consistent with those in the State's demonstration of attainment of the 1-hour ozone standard, it was shown that the Rate of Progress targets were achieved.  In addition, the State agreed to find further emission </w:t>
      </w:r>
      <w:r>
        <w:lastRenderedPageBreak/>
        <w:t>reductions,</w:t>
      </w:r>
      <w:r>
        <w:t xml:space="preserve"> identified by the USEPA, and is currently working with other Ozone Transport Region states in this regard.  Once these measures are adopted, projected controlled emission levels would decrease further.  The Rate of Progress SIP also contained revised tran</w:t>
      </w:r>
      <w:r>
        <w:t>sportation conformity emission budgets.</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purpose of the Rate of Progress submittals was to demonstrate steady incremental progress (three percent of the 1990 VOC baseline emission level averaged over each consecutive three year period beginning in 1991</w:t>
      </w:r>
      <w:r>
        <w:t xml:space="preserve">) leading towards the ultimate goal of attainment.  The purpose of the attainment demonstration, however, was to assess the overall emission reductions necessary to actually achieve attainment, which could be greater than or less than the Rate of Progress </w:t>
      </w:r>
      <w:r>
        <w:t>incremental reductions.  If the attainment demonstration shows that a state needs less than three percent over each consecutive three year period to reach attainment, it can petition the USEPA to reduce the Rate of Progress requirement for their particular</w:t>
      </w:r>
      <w:r>
        <w:t xml:space="preserve"> state.</w:t>
      </w:r>
      <w:r>
        <w:rPr>
          <w:rStyle w:val="FootnoteReference"/>
          <w:sz w:val="20"/>
          <w:vertAlign w:val="superscript"/>
        </w:rPr>
        <w:footnoteReference w:id="95"/>
      </w:r>
      <w:r>
        <w:t xml:space="preserve">  In New Jersey’s case, however, attaining the standard requires emission reductions that exceed Rate of Progress requirements.  By way of illustration, the control measures in the attainment demonstration were incorporated in the Rate of Progress </w:t>
      </w:r>
      <w:r>
        <w:t>SIP, and the resulting controlled emission levels indicate that the inventories for New Jersey portion of the New York City/Northern New Jersey/ Long Island and Philadelphia/Wilmington/Trenton nonattainment areas are well below the targets derived from the</w:t>
      </w:r>
      <w:r>
        <w:t xml:space="preserve"> three percent reduction over each consecutive three year period.  For example, for the New York City/Northern New Jersey/Long Island nonattainment area for 2007, the sum of the New Jersey VOC and NO</w:t>
      </w:r>
      <w:r>
        <w:rPr>
          <w:vertAlign w:val="subscript"/>
        </w:rPr>
        <w:t>x</w:t>
      </w:r>
      <w:r>
        <w:t xml:space="preserve"> percentage emission reduction was 83.5 percent as compa</w:t>
      </w:r>
      <w:r>
        <w:t>red to a 48 percent Rate of Progress test requirement.  Therefore, for New Jersey, the emission reductions needed to attain the ozone standard significantly exceed the three percent per year Rate of Progress requirements.</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rPr>
          <w:u w:val="single"/>
        </w:rPr>
      </w:pPr>
      <w:r>
        <w:rPr>
          <w:u w:val="single"/>
        </w:rPr>
        <w:t>2003 New Jersey Revised Motor Veh</w:t>
      </w:r>
      <w:r>
        <w:rPr>
          <w:u w:val="single"/>
        </w:rPr>
        <w:t>icle Emission Inventories and Transportation Conformity Emission Budgets Using the MOBILE6 Model</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In 2003, New Jersey submitted a SIP revision to fulfill its commitment to revise 2005 and 2007 onroad motor vehicle emission budgets for the Philadelphia/Wilm</w:t>
      </w:r>
      <w:r>
        <w:t>ington/Trenton nonattainment area and New York City/Northern New Jersey/Long Island nonattainment area using the new MOBILE6 model.</w:t>
      </w:r>
      <w:r>
        <w:rPr>
          <w:rStyle w:val="FootnoteReference"/>
          <w:sz w:val="20"/>
          <w:vertAlign w:val="superscript"/>
        </w:rPr>
        <w:footnoteReference w:id="96"/>
      </w:r>
      <w:r>
        <w:t xml:space="preserve">  In addition, this SIP revision showed that the new levels of onroad motor vehicle emissions calculated using MOBILE6 conti</w:t>
      </w:r>
      <w:r>
        <w:t>nue to support predicted achievement of rate of progress requirements and projected attainment of the 1-hour ozone NAAQS by the attainment dates for each nonattainment area.  The MOBILE6 generated inventories were also used to establish transportation conf</w:t>
      </w:r>
      <w:r>
        <w:t>ormity emission budgets for the appropriate Metropolitan Planning Organizations (MPOs) in New Jersey.</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The USEPA approved the revised emission inventories and transportation conformity emission budgets using MOBILE6 on May 5, 2003 at 68 FR 23662.</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rPr>
          <w:u w:val="single"/>
        </w:rPr>
      </w:pPr>
      <w:r>
        <w:rPr>
          <w:u w:val="single"/>
        </w:rPr>
        <w:br w:type="page"/>
      </w:r>
      <w:r>
        <w:rPr>
          <w:u w:val="single"/>
        </w:rPr>
        <w:lastRenderedPageBreak/>
        <w:t>2004 Ne</w:t>
      </w:r>
      <w:r>
        <w:rPr>
          <w:u w:val="single"/>
        </w:rPr>
        <w:t>w Jersey Revised Motor Vehicle Transportation Conformity Emission Budgets Using the MOBILE6 Model</w:t>
      </w:r>
    </w:p>
    <w:p w:rsidR="00000000" w:rsidRDefault="00C40079">
      <w:pPr>
        <w:pStyle w:val="Level2"/>
        <w:tabs>
          <w:tab w:val="left" w:pos="720"/>
          <w:tab w:val="left" w:pos="1080"/>
          <w:tab w:val="left" w:pos="1440"/>
          <w:tab w:val="left" w:pos="1800"/>
          <w:tab w:val="left" w:pos="2160"/>
        </w:tabs>
      </w:pPr>
    </w:p>
    <w:p w:rsidR="00000000" w:rsidRDefault="00C40079">
      <w:pPr>
        <w:pStyle w:val="Level2"/>
        <w:tabs>
          <w:tab w:val="left" w:pos="720"/>
          <w:tab w:val="left" w:pos="1080"/>
          <w:tab w:val="left" w:pos="1440"/>
          <w:tab w:val="left" w:pos="1800"/>
          <w:tab w:val="left" w:pos="2160"/>
        </w:tabs>
      </w:pPr>
      <w:r>
        <w:t>In 2004, New Jersey submitted a request to the USEPA for a SIP revision to establish updated transportation conformity emission budgets that incorporated new</w:t>
      </w:r>
      <w:r>
        <w:t xml:space="preserve"> data and the use of the new USEPA motor vehicle emissions model (MOBILE6) that was required for use in future conformity determinations for New Jersey.  Transportation conformity emission budgets for carbon monoxide, VOCs, and NO</w:t>
      </w:r>
      <w:r>
        <w:rPr>
          <w:vertAlign w:val="subscript"/>
        </w:rPr>
        <w:t>x</w:t>
      </w:r>
      <w:r>
        <w:t xml:space="preserve"> were updated to reflect </w:t>
      </w:r>
      <w:r>
        <w:t>the most recent version of the USEPA’s emission factor prediction model and the latest vehicle registration data.  The latest vehicle registration data were used to establish new estimates of the age distribution of New Jersey’s onroad motor vehicle fleet.</w:t>
      </w:r>
      <w:r>
        <w:t xml:space="preserve">  This SIP revision did not affect any of the planned or implemented control measures for carbon monoxide, VOCs, and NO</w:t>
      </w:r>
      <w:r>
        <w:rPr>
          <w:vertAlign w:val="subscript"/>
        </w:rPr>
        <w:t>x</w:t>
      </w:r>
      <w:r>
        <w:t>.  In addition, the updated budgets did not indicate a need for any additional control measures for New Jersey to maintain attainment of</w:t>
      </w:r>
      <w:r>
        <w:t xml:space="preserve"> the carbon monoxide NAAQS or reach attainment of the 1-hour ozone NAAQS.</w:t>
      </w:r>
    </w:p>
    <w:p w:rsidR="00000000" w:rsidRDefault="00C40079">
      <w:pPr>
        <w:pStyle w:val="Level2"/>
        <w:tabs>
          <w:tab w:val="left" w:pos="720"/>
          <w:tab w:val="left" w:pos="1080"/>
          <w:tab w:val="left" w:pos="1440"/>
          <w:tab w:val="left" w:pos="1800"/>
          <w:tab w:val="left" w:pos="2160"/>
        </w:tabs>
      </w:pPr>
    </w:p>
    <w:p w:rsidR="00C40079" w:rsidRDefault="00C40079">
      <w:pPr>
        <w:pStyle w:val="Level2"/>
        <w:tabs>
          <w:tab w:val="left" w:pos="720"/>
          <w:tab w:val="left" w:pos="1080"/>
          <w:tab w:val="left" w:pos="1440"/>
          <w:tab w:val="left" w:pos="1800"/>
          <w:tab w:val="left" w:pos="2160"/>
        </w:tabs>
      </w:pPr>
      <w:r>
        <w:t>The USEPA approved New Jersey's SIP revision request on August 30, 2004 at 69 FR 52834-52836.</w:t>
      </w:r>
    </w:p>
    <w:sectPr w:rsidR="00C40079">
      <w:type w:val="oddPage"/>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40079" w:rsidRDefault="00C40079">
      <w:r>
        <w:separator/>
      </w:r>
    </w:p>
  </w:endnote>
  <w:endnote w:type="continuationSeparator" w:id="0">
    <w:p w:rsidR="00C40079" w:rsidRDefault="00C400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rial (W1)">
    <w:altName w:val="Arial"/>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000" w:rsidRDefault="00C4007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000000" w:rsidRDefault="00C4007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000" w:rsidRDefault="00C4007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iii</w:t>
    </w:r>
    <w:r>
      <w:rPr>
        <w:rStyle w:val="PageNumber"/>
      </w:rPr>
      <w:fldChar w:fldCharType="end"/>
    </w:r>
  </w:p>
  <w:p w:rsidR="00000000" w:rsidRDefault="00C40079">
    <w:pPr>
      <w:pStyle w:val="Footer"/>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000" w:rsidRDefault="00C4007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rsidR="00000000" w:rsidRDefault="00C40079">
    <w:pPr>
      <w:pStyle w:val="Footer"/>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000" w:rsidRDefault="00C4007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50</w:t>
    </w:r>
    <w:r>
      <w:rPr>
        <w:rStyle w:val="PageNumber"/>
      </w:rPr>
      <w:fldChar w:fldCharType="end"/>
    </w:r>
    <w:bookmarkStart w:id="77" w:name="_Hlt126633494"/>
    <w:bookmarkEnd w:id="77"/>
  </w:p>
  <w:p w:rsidR="00000000" w:rsidRDefault="00C40079">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40079" w:rsidRDefault="00C40079">
      <w:r>
        <w:separator/>
      </w:r>
    </w:p>
  </w:footnote>
  <w:footnote w:type="continuationSeparator" w:id="0">
    <w:p w:rsidR="00C40079" w:rsidRDefault="00C40079">
      <w:r>
        <w:continuationSeparator/>
      </w:r>
    </w:p>
  </w:footnote>
  <w:footnote w:id="1">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Transportation Conformity Rule Amendments for the New 8-Hour Ozone and PM</w:t>
      </w:r>
      <w:r>
        <w:rPr>
          <w:rFonts w:ascii="Times New Roman" w:hAnsi="Times New Roman"/>
          <w:vertAlign w:val="subscript"/>
        </w:rPr>
        <w:t>2.5</w:t>
      </w:r>
      <w:r>
        <w:rPr>
          <w:rFonts w:ascii="Times New Roman" w:hAnsi="Times New Roman"/>
        </w:rPr>
        <w:t xml:space="preserve"> National</w:t>
      </w:r>
      <w:r>
        <w:rPr>
          <w:rFonts w:ascii="Times New Roman" w:hAnsi="Times New Roman"/>
        </w:rPr>
        <w:t xml:space="preserve"> Ambient Air Quality Standards and Miscellaneous Revisions for Existing Areas; Transportation Conformity Rule Amendments: Response to Court Decision and Additional Rule Changes; Final Rule, 69 </w:t>
      </w:r>
      <w:r>
        <w:rPr>
          <w:rFonts w:ascii="Times New Roman" w:hAnsi="Times New Roman"/>
          <w:u w:val="single"/>
        </w:rPr>
        <w:t>Fed. Reg.</w:t>
      </w:r>
      <w:r>
        <w:rPr>
          <w:rFonts w:ascii="Times New Roman" w:hAnsi="Times New Roman"/>
        </w:rPr>
        <w:t>, 40026-40027 (July 1, 2004).</w:t>
      </w:r>
    </w:p>
  </w:footnote>
  <w:footnote w:id="2">
    <w:p w:rsidR="00000000" w:rsidRDefault="00C40079">
      <w:pPr>
        <w:pStyle w:val="FootnoteText"/>
        <w:rPr>
          <w:rFonts w:ascii="Times New Roman" w:hAnsi="Times New Roman"/>
        </w:rPr>
      </w:pPr>
      <w:r>
        <w:rPr>
          <w:rStyle w:val="FootnoteReference"/>
          <w:rFonts w:ascii="Times New Roman" w:hAnsi="Times New Roman"/>
          <w:sz w:val="24"/>
          <w:vertAlign w:val="superscript"/>
        </w:rPr>
        <w:footnoteRef/>
      </w:r>
      <w:r>
        <w:rPr>
          <w:rFonts w:ascii="Times New Roman" w:hAnsi="Times New Roman"/>
        </w:rPr>
        <w:t xml:space="preserve"> 40 CFR  93.124</w:t>
      </w:r>
    </w:p>
  </w:footnote>
  <w:footnote w:id="3">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68 </w:t>
      </w:r>
      <w:r>
        <w:rPr>
          <w:rFonts w:ascii="Times New Roman" w:hAnsi="Times New Roman"/>
          <w:u w:val="single"/>
        </w:rPr>
        <w:t>Fe</w:t>
      </w:r>
      <w:r>
        <w:rPr>
          <w:rFonts w:ascii="Times New Roman" w:hAnsi="Times New Roman"/>
          <w:u w:val="single"/>
        </w:rPr>
        <w:t>d. Reg.</w:t>
      </w:r>
      <w:r>
        <w:rPr>
          <w:rFonts w:ascii="Times New Roman" w:hAnsi="Times New Roman"/>
        </w:rPr>
        <w:t>, 43462-43465 (July 23, 2003).</w:t>
      </w:r>
    </w:p>
  </w:footnote>
  <w:footnote w:id="4">
    <w:p w:rsidR="00000000" w:rsidRDefault="00C40079">
      <w:pPr>
        <w:pStyle w:val="FootnoteText"/>
        <w:rPr>
          <w:rFonts w:ascii="Times New Roman" w:hAnsi="Times New Roman"/>
          <w:vertAlign w:val="superscript"/>
        </w:rPr>
      </w:pPr>
      <w:r>
        <w:rPr>
          <w:rStyle w:val="FootnoteReference"/>
          <w:rFonts w:ascii="Times New Roman" w:hAnsi="Times New Roman"/>
          <w:vertAlign w:val="superscript"/>
        </w:rPr>
        <w:footnoteRef/>
      </w:r>
      <w:r>
        <w:rPr>
          <w:rFonts w:ascii="Times New Roman" w:hAnsi="Times New Roman"/>
          <w:vertAlign w:val="superscript"/>
        </w:rPr>
        <w:t xml:space="preserve"> </w:t>
      </w:r>
      <w:r>
        <w:rPr>
          <w:rFonts w:ascii="Times New Roman" w:hAnsi="Times New Roman"/>
        </w:rPr>
        <w:t>USEPA, Memorandum from Lydia Wegman (OAQPS) to EPA Regional Air Directors, “Limited Maintenance Plan Option for Moderate PM</w:t>
      </w:r>
      <w:r>
        <w:rPr>
          <w:rFonts w:ascii="Times New Roman" w:hAnsi="Times New Roman"/>
          <w:vertAlign w:val="subscript"/>
        </w:rPr>
        <w:t>10</w:t>
      </w:r>
      <w:r>
        <w:rPr>
          <w:rFonts w:ascii="Times New Roman" w:hAnsi="Times New Roman"/>
        </w:rPr>
        <w:t xml:space="preserve"> Nonattainment Areas,” August 21, 2001.</w:t>
      </w:r>
    </w:p>
  </w:footnote>
  <w:footnote w:id="5">
    <w:p w:rsidR="00000000" w:rsidRDefault="00C40079">
      <w:pPr>
        <w:pStyle w:val="FootnoteText"/>
      </w:pPr>
      <w:r>
        <w:rPr>
          <w:rStyle w:val="FootnoteReference"/>
          <w:rFonts w:ascii="Times New Roman" w:hAnsi="Times New Roman"/>
          <w:vertAlign w:val="superscript"/>
        </w:rPr>
        <w:footnoteRef/>
      </w:r>
      <w:r>
        <w:rPr>
          <w:rFonts w:ascii="Times New Roman" w:hAnsi="Times New Roman"/>
        </w:rPr>
        <w:t xml:space="preserve"> SO</w:t>
      </w:r>
      <w:r>
        <w:rPr>
          <w:rFonts w:ascii="Times New Roman" w:hAnsi="Times New Roman"/>
          <w:vertAlign w:val="subscript"/>
        </w:rPr>
        <w:t>2</w:t>
      </w:r>
      <w:r>
        <w:rPr>
          <w:rFonts w:ascii="Times New Roman" w:hAnsi="Times New Roman"/>
        </w:rPr>
        <w:t xml:space="preserve"> has been reported in the inventory instead of</w:t>
      </w:r>
      <w:r>
        <w:rPr>
          <w:rFonts w:ascii="Times New Roman" w:hAnsi="Times New Roman"/>
        </w:rPr>
        <w:t xml:space="preserve"> SO</w:t>
      </w:r>
      <w:r>
        <w:rPr>
          <w:rFonts w:ascii="Times New Roman" w:hAnsi="Times New Roman"/>
          <w:vertAlign w:val="subscript"/>
        </w:rPr>
        <w:t>x</w:t>
      </w:r>
      <w:r>
        <w:rPr>
          <w:rFonts w:ascii="Times New Roman" w:hAnsi="Times New Roman"/>
        </w:rPr>
        <w:t xml:space="preserve"> as required in the Consolidated Emissions Reporting Rule because the USEPA MOBILE and NON-ROAD models and the majority of USEPA guidance on emission factors is based on SO</w:t>
      </w:r>
      <w:r>
        <w:rPr>
          <w:rFonts w:ascii="Times New Roman" w:hAnsi="Times New Roman"/>
          <w:vertAlign w:val="subscript"/>
        </w:rPr>
        <w:t>2</w:t>
      </w:r>
      <w:r>
        <w:rPr>
          <w:rFonts w:ascii="Times New Roman" w:hAnsi="Times New Roman"/>
        </w:rPr>
        <w:t>, not SO</w:t>
      </w:r>
      <w:r>
        <w:rPr>
          <w:rFonts w:ascii="Times New Roman" w:hAnsi="Times New Roman"/>
          <w:vertAlign w:val="subscript"/>
        </w:rPr>
        <w:t>x</w:t>
      </w:r>
      <w:r>
        <w:rPr>
          <w:rFonts w:ascii="Times New Roman" w:hAnsi="Times New Roman"/>
        </w:rPr>
        <w:t>.  In addition, the USEPA National Emissions Inventory reports SO</w:t>
      </w:r>
      <w:r>
        <w:rPr>
          <w:rFonts w:ascii="Times New Roman" w:hAnsi="Times New Roman"/>
          <w:vertAlign w:val="subscript"/>
        </w:rPr>
        <w:t>2</w:t>
      </w:r>
      <w:r>
        <w:rPr>
          <w:rFonts w:ascii="Times New Roman" w:hAnsi="Times New Roman"/>
        </w:rPr>
        <w:t>.</w:t>
      </w:r>
    </w:p>
  </w:footnote>
  <w:footnote w:id="6">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vertAlign w:val="superscript"/>
        </w:rPr>
        <w:t xml:space="preserve"> </w:t>
      </w:r>
      <w:r>
        <w:rPr>
          <w:rFonts w:ascii="Times New Roman" w:hAnsi="Times New Roman"/>
        </w:rPr>
        <w:t>42 U.S.C. §7410</w:t>
      </w:r>
    </w:p>
  </w:footnote>
  <w:footnote w:id="7">
    <w:p w:rsidR="00000000" w:rsidRDefault="00C40079">
      <w:pPr>
        <w:pStyle w:val="FootnoteText"/>
        <w:rPr>
          <w:b/>
        </w:rPr>
      </w:pPr>
      <w:r>
        <w:rPr>
          <w:rStyle w:val="FootnoteReference"/>
          <w:rFonts w:ascii="Times New Roman" w:hAnsi="Times New Roman"/>
          <w:vertAlign w:val="superscript"/>
        </w:rPr>
        <w:footnoteRef/>
      </w:r>
      <w:r>
        <w:rPr>
          <w:rFonts w:ascii="Times New Roman" w:hAnsi="Times New Roman"/>
        </w:rPr>
        <w:t xml:space="preserve"> 42 U.S.C. §7401</w:t>
      </w:r>
    </w:p>
  </w:footnote>
  <w:footnote w:id="8">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USEPA, Memorandum from John Calcagni, Director, Air Quality Management Division, to Regional Air Directors, “Procedures for Processing Requests to Redesignate Areas to Attainment,” September 4, 1992, page 6.</w:t>
      </w:r>
    </w:p>
  </w:footnote>
  <w:footnote w:id="9">
    <w:p w:rsidR="00000000" w:rsidRDefault="00C40079">
      <w:pPr>
        <w:pStyle w:val="FootnoteText"/>
        <w:rPr>
          <w:rFonts w:ascii="Times New Roman" w:hAnsi="Times New Roman"/>
          <w:vertAlign w:val="superscript"/>
        </w:rPr>
      </w:pPr>
      <w:r>
        <w:rPr>
          <w:rStyle w:val="FootnoteReference"/>
          <w:rFonts w:ascii="Times New Roman" w:hAnsi="Times New Roman"/>
          <w:vertAlign w:val="superscript"/>
        </w:rPr>
        <w:footnoteRef/>
      </w:r>
      <w:r>
        <w:rPr>
          <w:rFonts w:ascii="Times New Roman" w:hAnsi="Times New Roman"/>
        </w:rPr>
        <w:t xml:space="preserve"> 42 U.S.C. </w:t>
      </w:r>
      <w:r>
        <w:rPr>
          <w:rFonts w:ascii="Times New Roman" w:hAnsi="Times New Roman"/>
        </w:rPr>
        <w:t>§7506(c)(1)</w:t>
      </w:r>
      <w:r>
        <w:rPr>
          <w:rFonts w:ascii="Times New Roman" w:hAnsi="Times New Roman"/>
          <w:vertAlign w:val="superscript"/>
        </w:rPr>
        <w:t xml:space="preserve"> </w:t>
      </w:r>
    </w:p>
  </w:footnote>
  <w:footnote w:id="10">
    <w:p w:rsidR="00000000" w:rsidRDefault="00C40079">
      <w:pPr>
        <w:pStyle w:val="FootnoteText"/>
      </w:pPr>
      <w:r>
        <w:rPr>
          <w:rStyle w:val="FootnoteReference"/>
          <w:rFonts w:ascii="Times New Roman" w:hAnsi="Times New Roman"/>
          <w:vertAlign w:val="superscript"/>
        </w:rPr>
        <w:footnoteRef/>
      </w:r>
      <w:r>
        <w:rPr>
          <w:rFonts w:ascii="Times New Roman" w:hAnsi="Times New Roman"/>
        </w:rPr>
        <w:t xml:space="preserve"> For New Jersey such plans are prepared by three Metropolitan Planning Organizations (North Jersey Transportation Planning Authority, South Jersey Transportation Planning Organization and Delaware Valley Regional Planning Commission).</w:t>
      </w:r>
    </w:p>
  </w:footnote>
  <w:footnote w:id="11">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vertAlign w:val="superscript"/>
        </w:rPr>
        <w:t xml:space="preserve"> </w:t>
      </w:r>
      <w:r>
        <w:rPr>
          <w:rFonts w:ascii="Times New Roman" w:hAnsi="Times New Roman"/>
        </w:rPr>
        <w:t>Trans</w:t>
      </w:r>
      <w:r>
        <w:rPr>
          <w:rFonts w:ascii="Times New Roman" w:hAnsi="Times New Roman"/>
        </w:rPr>
        <w:t>portation Conformity Rule Amendments for the New 8-Hour Ozone and PM</w:t>
      </w:r>
      <w:r>
        <w:rPr>
          <w:rFonts w:ascii="Times New Roman" w:hAnsi="Times New Roman"/>
          <w:vertAlign w:val="subscript"/>
        </w:rPr>
        <w:t>2.5</w:t>
      </w:r>
      <w:r>
        <w:rPr>
          <w:rFonts w:ascii="Times New Roman" w:hAnsi="Times New Roman"/>
        </w:rPr>
        <w:t xml:space="preserve"> National Ambient Air Quality Standards and Miscellaneous Revisions for Existing Areas; Transportation Conformity Rule Amendments: Response to Court Decision and Additional Rule Changes</w:t>
      </w:r>
      <w:r>
        <w:rPr>
          <w:rFonts w:ascii="Times New Roman" w:hAnsi="Times New Roman"/>
        </w:rPr>
        <w:t xml:space="preserve">; Final Rule, 69 </w:t>
      </w:r>
      <w:r>
        <w:rPr>
          <w:rFonts w:ascii="Times New Roman" w:hAnsi="Times New Roman"/>
          <w:u w:val="single"/>
        </w:rPr>
        <w:t>Fed. Reg.</w:t>
      </w:r>
      <w:r>
        <w:rPr>
          <w:rFonts w:ascii="Times New Roman" w:hAnsi="Times New Roman"/>
        </w:rPr>
        <w:t>, 40026-40027 (July 1, 2004).</w:t>
      </w:r>
    </w:p>
  </w:footnote>
  <w:footnote w:id="12">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40 CFR 93.124</w:t>
      </w:r>
    </w:p>
  </w:footnote>
  <w:footnote w:id="13">
    <w:p w:rsidR="00000000" w:rsidRDefault="00C40079">
      <w:pPr>
        <w:pStyle w:val="FootnoteText"/>
        <w:rPr>
          <w:rFonts w:ascii="Times New Roman" w:hAnsi="Times New Roman"/>
        </w:rPr>
      </w:pPr>
      <w:r>
        <w:rPr>
          <w:rStyle w:val="FootnoteReference"/>
          <w:rFonts w:ascii="Times New (W1)" w:hAnsi="Times New (W1)"/>
          <w:vertAlign w:val="superscript"/>
        </w:rPr>
        <w:footnoteRef/>
      </w:r>
      <w:r>
        <w:rPr>
          <w:rFonts w:ascii="Times New (W1)" w:hAnsi="Times New (W1)"/>
          <w:vertAlign w:val="superscript"/>
        </w:rPr>
        <w:t xml:space="preserve"> </w:t>
      </w:r>
      <w:r>
        <w:rPr>
          <w:rFonts w:ascii="Times New Roman" w:hAnsi="Times New Roman"/>
        </w:rPr>
        <w:t>Op cit, note 12.</w:t>
      </w:r>
    </w:p>
  </w:footnote>
  <w:footnote w:id="14">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67 </w:t>
      </w:r>
      <w:r>
        <w:rPr>
          <w:rFonts w:ascii="Times New Roman" w:hAnsi="Times New Roman"/>
          <w:u w:val="single"/>
        </w:rPr>
        <w:t>Fed. Reg.</w:t>
      </w:r>
      <w:r>
        <w:rPr>
          <w:rFonts w:ascii="Times New Roman" w:hAnsi="Times New Roman"/>
        </w:rPr>
        <w:t>, 54577 (August 23, 2002).</w:t>
      </w:r>
    </w:p>
  </w:footnote>
  <w:footnote w:id="15">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USEPA and U.S. Department of Transportation, Memorandum on “Use of Latest Planning Assumptions in Conformity Determination</w:t>
      </w:r>
      <w:r>
        <w:rPr>
          <w:rFonts w:ascii="Times New Roman" w:hAnsi="Times New Roman"/>
        </w:rPr>
        <w:t>s,” January 18, 2001.</w:t>
      </w:r>
    </w:p>
  </w:footnote>
  <w:footnote w:id="16">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NJDEP, SIP Revision for the Attainment and Maintenance of the Ozone NAAQS, New Jersey Revised Motor Vehicle Emission Inventories and Transportation Conformity Budgets Using the MOBILE6 Model, April 4, 2003.</w:t>
      </w:r>
    </w:p>
  </w:footnote>
  <w:footnote w:id="17">
    <w:p w:rsidR="00000000" w:rsidRDefault="00C40079">
      <w:pPr>
        <w:pStyle w:val="FootnoteText"/>
      </w:pPr>
      <w:r>
        <w:rPr>
          <w:rStyle w:val="FootnoteReference"/>
          <w:rFonts w:ascii="Times New Roman" w:hAnsi="Times New Roman"/>
          <w:vertAlign w:val="superscript"/>
        </w:rPr>
        <w:footnoteRef/>
      </w:r>
      <w:r>
        <w:t xml:space="preserve"> </w:t>
      </w:r>
      <w:r>
        <w:rPr>
          <w:rFonts w:ascii="Times New Roman" w:hAnsi="Times New Roman"/>
        </w:rPr>
        <w:t>NJDEP, State Implementa</w:t>
      </w:r>
      <w:r>
        <w:rPr>
          <w:rFonts w:ascii="Times New Roman" w:hAnsi="Times New Roman"/>
        </w:rPr>
        <w:t>tion Plan revision for the Attainment and Maintenance of the Ozone National Ambient Air Quality Standard, New Jersey 1996 Actual Emission Inventory and Rate of Progress (ROP) Plans for 2002, 2005 and 2007, March 31, 2001.</w:t>
      </w:r>
    </w:p>
  </w:footnote>
  <w:footnote w:id="18">
    <w:p w:rsidR="00000000" w:rsidRDefault="00C40079">
      <w:pPr>
        <w:pStyle w:val="FootnoteText"/>
        <w:rPr>
          <w:rFonts w:ascii="Times New Roman" w:hAnsi="Times New Roman"/>
          <w:vertAlign w:val="superscript"/>
        </w:rPr>
      </w:pPr>
      <w:r>
        <w:rPr>
          <w:rStyle w:val="FootnoteReference"/>
          <w:rFonts w:ascii="Times New Roman" w:hAnsi="Times New Roman"/>
          <w:vertAlign w:val="superscript"/>
        </w:rPr>
        <w:footnoteRef/>
      </w:r>
      <w:r>
        <w:rPr>
          <w:rFonts w:ascii="Times New Roman" w:hAnsi="Times New Roman"/>
        </w:rPr>
        <w:t xml:space="preserve"> NJDEP.  Final State Implementati</w:t>
      </w:r>
      <w:r>
        <w:rPr>
          <w:rFonts w:ascii="Times New Roman" w:hAnsi="Times New Roman"/>
        </w:rPr>
        <w:t>on Plan Revision for the Attainment and Maintenance of the Ozone National Ambient Air Quality Standard (NAAQS), New Jersey Revised Motor Vehicle Emission Inventories and Transportation Conformity Budgets Using MOBILE6 Model, 2003.</w:t>
      </w:r>
    </w:p>
    <w:p w:rsidR="00000000" w:rsidRDefault="00C40079">
      <w:pPr>
        <w:pStyle w:val="FootnoteText"/>
        <w:rPr>
          <w:rFonts w:ascii="Times New Roman" w:hAnsi="Times New Roman"/>
        </w:rPr>
      </w:pPr>
    </w:p>
  </w:footnote>
  <w:footnote w:id="19">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vertAlign w:val="superscript"/>
        </w:rPr>
        <w:t xml:space="preserve"> </w:t>
      </w:r>
      <w:r>
        <w:rPr>
          <w:rFonts w:ascii="Times New Roman" w:hAnsi="Times New Roman"/>
        </w:rPr>
        <w:t>NJDEP. Final State Imp</w:t>
      </w:r>
      <w:r>
        <w:rPr>
          <w:rFonts w:ascii="Times New Roman" w:hAnsi="Times New Roman"/>
        </w:rPr>
        <w:t>lementation Plan Revision for the Attainment and Maintenance of the Ozone National Ambient Air Quality Standard (NAAQS), New Jersey Revised Motor Vehicle Emission Inventories and Transportation Conformity Budgets Using MOBILE6 Model, 2003.</w:t>
      </w:r>
    </w:p>
    <w:p w:rsidR="00000000" w:rsidRDefault="00C40079">
      <w:pPr>
        <w:pStyle w:val="FootnoteText"/>
        <w:rPr>
          <w:rFonts w:ascii="Times New Roman" w:hAnsi="Times New Roman"/>
          <w:vertAlign w:val="superscript"/>
        </w:rPr>
      </w:pPr>
      <w:r>
        <w:rPr>
          <w:rFonts w:ascii="Times New Roman" w:hAnsi="Times New Roman"/>
        </w:rPr>
        <w:t xml:space="preserve">USEPA approval: </w:t>
      </w:r>
      <w:r>
        <w:rPr>
          <w:rFonts w:ascii="Times New Roman" w:hAnsi="Times New Roman"/>
        </w:rPr>
        <w:t xml:space="preserve">68 </w:t>
      </w:r>
      <w:r>
        <w:rPr>
          <w:rFonts w:ascii="Times New Roman" w:hAnsi="Times New Roman"/>
          <w:u w:val="single"/>
        </w:rPr>
        <w:t>Fed. Reg.</w:t>
      </w:r>
      <w:r>
        <w:rPr>
          <w:rFonts w:ascii="Times New Roman" w:hAnsi="Times New Roman"/>
        </w:rPr>
        <w:t xml:space="preserve">  43462.</w:t>
      </w:r>
    </w:p>
    <w:p w:rsidR="00000000" w:rsidRDefault="00C40079">
      <w:pPr>
        <w:pStyle w:val="FootnoteText"/>
      </w:pPr>
    </w:p>
  </w:footnote>
  <w:footnote w:id="20">
    <w:p w:rsidR="00000000" w:rsidRDefault="00C40079">
      <w:pPr>
        <w:pStyle w:val="FootnoteText"/>
        <w:rPr>
          <w:rFonts w:ascii="Times New Roman" w:hAnsi="Times New Roman"/>
          <w:vertAlign w:val="superscript"/>
        </w:rPr>
      </w:pPr>
      <w:r>
        <w:rPr>
          <w:rStyle w:val="FootnoteReference"/>
          <w:rFonts w:ascii="Times New Roman" w:hAnsi="Times New Roman"/>
          <w:vertAlign w:val="superscript"/>
        </w:rPr>
        <w:footnoteRef/>
      </w:r>
      <w:r>
        <w:rPr>
          <w:rFonts w:ascii="Times New Roman" w:hAnsi="Times New Roman"/>
          <w:vertAlign w:val="superscript"/>
        </w:rPr>
        <w:t xml:space="preserve"> </w:t>
      </w:r>
      <w:r>
        <w:rPr>
          <w:rFonts w:ascii="Times New Roman" w:hAnsi="Times New Roman"/>
        </w:rPr>
        <w:t>USEPA, Office of Air Quality Planning and Standards, NO</w:t>
      </w:r>
      <w:r>
        <w:rPr>
          <w:rFonts w:ascii="Times New Roman" w:hAnsi="Times New Roman"/>
          <w:vertAlign w:val="subscript"/>
        </w:rPr>
        <w:t>x</w:t>
      </w:r>
      <w:r>
        <w:rPr>
          <w:rFonts w:ascii="Times New Roman" w:hAnsi="Times New Roman"/>
        </w:rPr>
        <w:t xml:space="preserve"> Substitution Guidance, December 1993. </w:t>
      </w:r>
    </w:p>
  </w:footnote>
  <w:footnote w:id="21">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vertAlign w:val="superscript"/>
        </w:rPr>
        <w:t xml:space="preserve"> </w:t>
      </w:r>
      <w:r>
        <w:rPr>
          <w:rFonts w:ascii="Times New Roman" w:hAnsi="Times New Roman"/>
        </w:rPr>
        <w:t>NJDEP, “State Implementation Plan Revision for the Attainment and Maintenance of the Ozone National Ambient Air Quality Standards, Mee</w:t>
      </w:r>
      <w:r>
        <w:rPr>
          <w:rFonts w:ascii="Times New Roman" w:hAnsi="Times New Roman"/>
        </w:rPr>
        <w:t>ting the Requirements of the Alternative Ozone Attainment Demonstration Policy, Phase I Ozone SIP Submittal”, December 31, 1996.</w:t>
      </w:r>
    </w:p>
  </w:footnote>
  <w:footnote w:id="22">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NJDEP, State Implementation Plan Revision for the Attainment and Maintenance of the Ozone National Ambient Air Quality Standa</w:t>
      </w:r>
      <w:r>
        <w:rPr>
          <w:rFonts w:ascii="Times New Roman" w:hAnsi="Times New Roman"/>
        </w:rPr>
        <w:t>rds, New Jersey 1996 Actual Emission Inventory and Rate of Progress Plans for 2002, 2005 and 2007, 2001, Table 29 on page 65.</w:t>
      </w:r>
    </w:p>
  </w:footnote>
  <w:footnote w:id="23">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w:t>
      </w:r>
      <w:r>
        <w:rPr>
          <w:rFonts w:ascii="Times New Roman" w:hAnsi="Times New Roman"/>
          <w:u w:val="single"/>
        </w:rPr>
        <w:t>McGuire Air Force Base Conformity Determination</w:t>
      </w:r>
      <w:r>
        <w:rPr>
          <w:rFonts w:ascii="Times New Roman" w:hAnsi="Times New Roman"/>
        </w:rPr>
        <w:t>.  July, 1995.</w:t>
      </w:r>
    </w:p>
  </w:footnote>
  <w:footnote w:id="24">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NJDEP, State Implementation Plan Revision for the Attainment and</w:t>
      </w:r>
      <w:r>
        <w:rPr>
          <w:rFonts w:ascii="Times New Roman" w:hAnsi="Times New Roman"/>
        </w:rPr>
        <w:t xml:space="preserve"> Maintenance of the Ozone National Ambient Air Quality Standards, Phase I Ozone SIP Submittal, 1996, p. 123.</w:t>
      </w:r>
    </w:p>
  </w:footnote>
  <w:footnote w:id="25">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NJDEP, State Implementation Plan Revision for the Attainment and Maintenance of the Ozone National Ambient Air Quality Standards, New Jersey 1996</w:t>
      </w:r>
      <w:r>
        <w:rPr>
          <w:rFonts w:ascii="Times New Roman" w:hAnsi="Times New Roman"/>
        </w:rPr>
        <w:t xml:space="preserve"> Actual Emission Inventory and Rate of Progress Plans for 2002, 2005 and 2007, 2001, p. 71.</w:t>
      </w:r>
    </w:p>
  </w:footnote>
  <w:footnote w:id="26">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Approval and Promulgation of Implementation Plans; New Jersey; Revised Motor Vehicle Emissions Inventories for 1996, 2005, and 2007 and Motor Vehicle Emissions Bu</w:t>
      </w:r>
      <w:r>
        <w:rPr>
          <w:rFonts w:ascii="Times New Roman" w:hAnsi="Times New Roman"/>
        </w:rPr>
        <w:t xml:space="preserve">dgets for 2005 and 2007 Using MOBILE6, Final Rule, 68 </w:t>
      </w:r>
      <w:r>
        <w:rPr>
          <w:rFonts w:ascii="Times New Roman" w:hAnsi="Times New Roman"/>
          <w:u w:val="single"/>
        </w:rPr>
        <w:t>Fed. Reg.</w:t>
      </w:r>
      <w:r>
        <w:rPr>
          <w:rFonts w:ascii="Times New Roman" w:hAnsi="Times New Roman"/>
        </w:rPr>
        <w:t>, 43463 (July 23, 2003).</w:t>
      </w:r>
    </w:p>
  </w:footnote>
  <w:footnote w:id="27">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U.S. Dept. of the Air Force, Letter from John Hoertz, Program Manager, Air Force Center for Environmental Excellence, Atlanta, Georgia to Sandra Krietzman, Chief, NJD</w:t>
      </w:r>
      <w:r>
        <w:rPr>
          <w:rFonts w:ascii="Times New Roman" w:hAnsi="Times New Roman"/>
        </w:rPr>
        <w:t>EP, Bureau of Air Quality Planning, Requesting Conformity Budget Change, October 11, 2005.</w:t>
      </w:r>
    </w:p>
  </w:footnote>
  <w:footnote w:id="28">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USEPA, “NO</w:t>
      </w:r>
      <w:r>
        <w:rPr>
          <w:rFonts w:ascii="Times New Roman" w:hAnsi="Times New Roman"/>
          <w:vertAlign w:val="subscript"/>
        </w:rPr>
        <w:t>x</w:t>
      </w:r>
      <w:r>
        <w:rPr>
          <w:rFonts w:ascii="Times New Roman" w:hAnsi="Times New Roman"/>
        </w:rPr>
        <w:t xml:space="preserve"> Substitution Guidance,” 1993.</w:t>
      </w:r>
    </w:p>
  </w:footnote>
  <w:footnote w:id="29">
    <w:p w:rsidR="00000000" w:rsidRDefault="00C40079">
      <w:pPr>
        <w:pStyle w:val="FootnoteText"/>
        <w:rPr>
          <w:rFonts w:ascii="Times New Roman" w:hAnsi="Times New Roman"/>
          <w:vertAlign w:val="superscript"/>
        </w:rPr>
      </w:pPr>
      <w:r>
        <w:rPr>
          <w:rStyle w:val="FootnoteReference"/>
          <w:rFonts w:ascii="Times New Roman" w:hAnsi="Times New Roman"/>
          <w:vertAlign w:val="superscript"/>
        </w:rPr>
        <w:footnoteRef/>
      </w:r>
      <w:r>
        <w:rPr>
          <w:rFonts w:ascii="Times New Roman" w:hAnsi="Times New Roman"/>
          <w:vertAlign w:val="superscript"/>
        </w:rPr>
        <w:t xml:space="preserve"> </w:t>
      </w:r>
      <w:r>
        <w:rPr>
          <w:rFonts w:ascii="Times New Roman" w:hAnsi="Times New Roman"/>
        </w:rPr>
        <w:t>NJDEP. Final State Implementation Plan Revision for the Attainment and Maintenance of the Ozone National Ambient Air Qu</w:t>
      </w:r>
      <w:r>
        <w:rPr>
          <w:rFonts w:ascii="Times New Roman" w:hAnsi="Times New Roman"/>
        </w:rPr>
        <w:t>ality Standard (NAAQS), New Jersey Revised Motor Vehicle Emission Inventories and Transportation Conformity Budgets Using MOBILE6 Model, 2003.</w:t>
      </w:r>
    </w:p>
  </w:footnote>
  <w:footnote w:id="30">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vertAlign w:val="superscript"/>
        </w:rPr>
        <w:t xml:space="preserve"> </w:t>
      </w:r>
      <w:r>
        <w:rPr>
          <w:rFonts w:ascii="Times New Roman" w:hAnsi="Times New Roman"/>
        </w:rPr>
        <w:t xml:space="preserve">68 </w:t>
      </w:r>
      <w:r>
        <w:rPr>
          <w:rFonts w:ascii="Times New Roman" w:hAnsi="Times New Roman"/>
          <w:u w:val="single"/>
        </w:rPr>
        <w:t>Fed. Reg.</w:t>
      </w:r>
      <w:r>
        <w:rPr>
          <w:rFonts w:ascii="Times New Roman" w:hAnsi="Times New Roman"/>
        </w:rPr>
        <w:t>, 43462-43465 (July 23, 2003).</w:t>
      </w:r>
    </w:p>
  </w:footnote>
  <w:footnote w:id="31">
    <w:p w:rsidR="00000000" w:rsidRDefault="00C40079">
      <w:pPr>
        <w:pStyle w:val="Level2"/>
        <w:tabs>
          <w:tab w:val="left" w:pos="720"/>
          <w:tab w:val="left" w:pos="1080"/>
          <w:tab w:val="left" w:pos="1440"/>
          <w:tab w:val="left" w:pos="1800"/>
          <w:tab w:val="left" w:pos="2160"/>
        </w:tabs>
        <w:rPr>
          <w:sz w:val="20"/>
        </w:rPr>
      </w:pPr>
      <w:r>
        <w:rPr>
          <w:rStyle w:val="FootnoteReference"/>
          <w:sz w:val="20"/>
          <w:vertAlign w:val="superscript"/>
        </w:rPr>
        <w:footnoteRef/>
      </w:r>
      <w:r>
        <w:rPr>
          <w:sz w:val="20"/>
          <w:vertAlign w:val="superscript"/>
        </w:rPr>
        <w:t xml:space="preserve"> </w:t>
      </w:r>
      <w:r>
        <w:rPr>
          <w:sz w:val="20"/>
        </w:rPr>
        <w:t>The attainment demonstration SIP for the PM</w:t>
      </w:r>
      <w:r>
        <w:rPr>
          <w:sz w:val="20"/>
          <w:vertAlign w:val="subscript"/>
        </w:rPr>
        <w:t>2.5</w:t>
      </w:r>
      <w:r>
        <w:rPr>
          <w:sz w:val="20"/>
        </w:rPr>
        <w:t xml:space="preserve"> NAAQS is not due un</w:t>
      </w:r>
      <w:r>
        <w:rPr>
          <w:sz w:val="20"/>
        </w:rPr>
        <w:t xml:space="preserve">til April 2008.  </w:t>
      </w:r>
    </w:p>
  </w:footnote>
  <w:footnote w:id="32">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Personal communication with USEPA II, October 2005.</w:t>
      </w:r>
    </w:p>
  </w:footnote>
  <w:footnote w:id="33">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Additional background information can be found at the USEPA website (</w:t>
      </w:r>
      <w:hyperlink r:id="rId1" w:history="1">
        <w:r>
          <w:rPr>
            <w:rStyle w:val="Hyperlink"/>
            <w:rFonts w:ascii="Times New Roman" w:hAnsi="Times New Roman"/>
          </w:rPr>
          <w:t>http://www.epa.gov/pmdesignations/faq.htm%230</w:t>
        </w:r>
      </w:hyperlink>
      <w:r>
        <w:rPr>
          <w:rFonts w:ascii="Times New Roman" w:hAnsi="Times New Roman"/>
        </w:rPr>
        <w:t>).</w:t>
      </w:r>
    </w:p>
  </w:footnote>
  <w:footnote w:id="34">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42</w:t>
      </w:r>
      <w:r>
        <w:rPr>
          <w:rFonts w:ascii="Times New Roman" w:hAnsi="Times New Roman"/>
        </w:rPr>
        <w:t xml:space="preserve"> U.S.C. §7409(a).</w:t>
      </w:r>
    </w:p>
  </w:footnote>
  <w:footnote w:id="35">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42 U.S.C §7409(d).</w:t>
      </w:r>
    </w:p>
  </w:footnote>
  <w:footnote w:id="36">
    <w:p w:rsidR="00000000" w:rsidRDefault="00C40079">
      <w:pPr>
        <w:pStyle w:val="FootnoteText"/>
        <w:rPr>
          <w:rFonts w:ascii="Times New Roman" w:hAnsi="Times New Roman"/>
        </w:rPr>
      </w:pPr>
      <w:r>
        <w:rPr>
          <w:rStyle w:val="FootnoteReference"/>
          <w:rFonts w:ascii="Times New (W1)" w:hAnsi="Times New (W1)"/>
          <w:vertAlign w:val="superscript"/>
        </w:rPr>
        <w:footnoteRef/>
      </w:r>
      <w:r>
        <w:rPr>
          <w:rFonts w:ascii="Times New Roman" w:hAnsi="Times New Roman"/>
        </w:rPr>
        <w:t xml:space="preserve"> </w:t>
      </w:r>
      <w:hyperlink r:id="rId2" w:history="1">
        <w:r>
          <w:rPr>
            <w:rStyle w:val="Hyperlink"/>
            <w:rFonts w:ascii="Times New Roman" w:hAnsi="Times New Roman"/>
          </w:rPr>
          <w:t>http://www.epa.gov/pmdesignations</w:t>
        </w:r>
      </w:hyperlink>
    </w:p>
    <w:p w:rsidR="00000000" w:rsidRDefault="00C40079">
      <w:pPr>
        <w:pStyle w:val="FootnoteText"/>
      </w:pPr>
    </w:p>
  </w:footnote>
  <w:footnote w:id="37">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Transportation Conformity Rule Amendments for the New 8-hour Ozone and PM</w:t>
      </w:r>
      <w:r>
        <w:rPr>
          <w:rFonts w:ascii="Times New Roman" w:hAnsi="Times New Roman"/>
          <w:vertAlign w:val="subscript"/>
        </w:rPr>
        <w:t>2.5</w:t>
      </w:r>
      <w:r>
        <w:rPr>
          <w:rFonts w:ascii="Times New Roman" w:hAnsi="Times New Roman"/>
        </w:rPr>
        <w:t xml:space="preserve"> National Ambient Air Quality Standards and Miscell</w:t>
      </w:r>
      <w:r>
        <w:rPr>
          <w:rFonts w:ascii="Times New Roman" w:hAnsi="Times New Roman"/>
        </w:rPr>
        <w:t xml:space="preserve">aneous Revisions for Existing Areas; Transportation Conformity Rule Amendments: Response to Court Decision and Additional Rule Changes; Final Rule, 69 </w:t>
      </w:r>
      <w:r>
        <w:rPr>
          <w:rFonts w:ascii="Times New Roman" w:hAnsi="Times New Roman"/>
          <w:u w:val="single"/>
        </w:rPr>
        <w:t>Fed. Reg.</w:t>
      </w:r>
      <w:r>
        <w:rPr>
          <w:rFonts w:ascii="Times New Roman" w:hAnsi="Times New Roman"/>
        </w:rPr>
        <w:t>, 40004-40081 (July 1, 2004).</w:t>
      </w:r>
    </w:p>
  </w:footnote>
  <w:footnote w:id="38">
    <w:p w:rsidR="00000000" w:rsidRDefault="00C40079">
      <w:pPr>
        <w:pStyle w:val="FootnoteText"/>
      </w:pPr>
      <w:r>
        <w:rPr>
          <w:rStyle w:val="FootnoteReference"/>
          <w:rFonts w:ascii="Times New Roman" w:hAnsi="Times New Roman"/>
          <w:vertAlign w:val="superscript"/>
        </w:rPr>
        <w:footnoteRef/>
      </w:r>
      <w:r>
        <w:rPr>
          <w:rFonts w:ascii="Times New Roman" w:hAnsi="Times New Roman"/>
          <w:vertAlign w:val="superscript"/>
        </w:rPr>
        <w:t xml:space="preserve"> </w:t>
      </w:r>
      <w:r>
        <w:rPr>
          <w:rFonts w:ascii="Times New Roman" w:hAnsi="Times New Roman"/>
        </w:rPr>
        <w:t>40 CFR 93.119.</w:t>
      </w:r>
    </w:p>
  </w:footnote>
  <w:footnote w:id="39">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vertAlign w:val="superscript"/>
        </w:rPr>
        <w:t xml:space="preserve"> </w:t>
      </w:r>
      <w:r>
        <w:rPr>
          <w:rFonts w:ascii="Times New Roman" w:hAnsi="Times New Roman"/>
        </w:rPr>
        <w:t>Transportation Conformity Rule Amendments for t</w:t>
      </w:r>
      <w:r>
        <w:rPr>
          <w:rFonts w:ascii="Times New Roman" w:hAnsi="Times New Roman"/>
        </w:rPr>
        <w:t>he New PM</w:t>
      </w:r>
      <w:r>
        <w:rPr>
          <w:rFonts w:ascii="Times New Roman" w:hAnsi="Times New Roman"/>
          <w:vertAlign w:val="subscript"/>
        </w:rPr>
        <w:t>2.5</w:t>
      </w:r>
      <w:r>
        <w:rPr>
          <w:rFonts w:ascii="Times New Roman" w:hAnsi="Times New Roman"/>
        </w:rPr>
        <w:t xml:space="preserve"> National Ambient Air Quality Standard: PM</w:t>
      </w:r>
      <w:r>
        <w:rPr>
          <w:rFonts w:ascii="Times New Roman" w:hAnsi="Times New Roman"/>
          <w:vertAlign w:val="subscript"/>
        </w:rPr>
        <w:t>2.5</w:t>
      </w:r>
      <w:r>
        <w:rPr>
          <w:rFonts w:ascii="Times New Roman" w:hAnsi="Times New Roman"/>
        </w:rPr>
        <w:t xml:space="preserve"> Precursors, Final Rule, 70 </w:t>
      </w:r>
      <w:r>
        <w:rPr>
          <w:rFonts w:ascii="Times New Roman" w:hAnsi="Times New Roman"/>
          <w:u w:val="single"/>
        </w:rPr>
        <w:t>Fed. Reg.,</w:t>
      </w:r>
      <w:r>
        <w:rPr>
          <w:rFonts w:ascii="Times New Roman" w:hAnsi="Times New Roman"/>
        </w:rPr>
        <w:t xml:space="preserve"> 24280 (May 6, 2005).</w:t>
      </w:r>
    </w:p>
  </w:footnote>
  <w:footnote w:id="40">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69 </w:t>
      </w:r>
      <w:r>
        <w:rPr>
          <w:rFonts w:ascii="Times New Roman" w:hAnsi="Times New Roman"/>
          <w:u w:val="single"/>
        </w:rPr>
        <w:t>Fed. Reg.,</w:t>
      </w:r>
      <w:r>
        <w:rPr>
          <w:rFonts w:ascii="Times New Roman" w:hAnsi="Times New Roman"/>
        </w:rPr>
        <w:t xml:space="preserve"> 40030.</w:t>
      </w:r>
    </w:p>
  </w:footnote>
  <w:footnote w:id="41">
    <w:p w:rsidR="00000000" w:rsidRDefault="00C40079">
      <w:pPr>
        <w:pStyle w:val="FootnoteText"/>
      </w:pPr>
      <w:r>
        <w:rPr>
          <w:rStyle w:val="FootnoteReference"/>
          <w:rFonts w:ascii="Times New Roman" w:hAnsi="Times New Roman"/>
          <w:vertAlign w:val="superscript"/>
        </w:rPr>
        <w:footnoteRef/>
      </w:r>
      <w:r>
        <w:rPr>
          <w:rFonts w:ascii="Times New Roman" w:hAnsi="Times New Roman"/>
        </w:rPr>
        <w:t xml:space="preserve"> USEPA Region 2 and NJDEP, conference call, October 4, 2005.</w:t>
      </w:r>
    </w:p>
  </w:footnote>
  <w:footnote w:id="42">
    <w:p w:rsidR="00000000" w:rsidRDefault="00C40079">
      <w:pPr>
        <w:rPr>
          <w:snapToGrid w:val="0"/>
        </w:rPr>
      </w:pPr>
      <w:r>
        <w:rPr>
          <w:rStyle w:val="FootnoteReference"/>
          <w:rFonts w:ascii="Times New (W1)" w:hAnsi="Times New (W1)"/>
          <w:vertAlign w:val="superscript"/>
        </w:rPr>
        <w:footnoteRef/>
      </w:r>
      <w:r>
        <w:t xml:space="preserve"> </w:t>
      </w:r>
      <w:r>
        <w:rPr>
          <w:snapToGrid w:val="0"/>
        </w:rPr>
        <w:t>New Jersey Carbon Monoxide State Implementation Plan</w:t>
      </w:r>
      <w:r>
        <w:rPr>
          <w:snapToGrid w:val="0"/>
        </w:rPr>
        <w:t>, Redesignation And Maintenance Plan For Camden County, New Jersey Department of Environmental Protection, September 29, 1995, and</w:t>
      </w:r>
    </w:p>
    <w:p w:rsidR="00000000" w:rsidRDefault="00C40079">
      <w:pPr>
        <w:pStyle w:val="FootnoteText"/>
      </w:pPr>
      <w:r>
        <w:rPr>
          <w:rFonts w:ascii="Times New Roman" w:hAnsi="Times New Roman"/>
        </w:rPr>
        <w:t>New Jersey Carbon Monoxide State Implementation Plan, Redesignation and Maintenance Plan for the Nine Not-Classified Areas, N</w:t>
      </w:r>
      <w:r>
        <w:rPr>
          <w:rFonts w:ascii="Times New Roman" w:hAnsi="Times New Roman"/>
        </w:rPr>
        <w:t>ew Jersey Department of Environmental Protection, September 29, 1995.</w:t>
      </w:r>
    </w:p>
    <w:p w:rsidR="00000000" w:rsidRDefault="00C40079">
      <w:pPr>
        <w:pStyle w:val="FootnoteText"/>
        <w:rPr>
          <w:rFonts w:ascii="Times New Roman" w:hAnsi="Times New Roman"/>
        </w:rPr>
      </w:pPr>
    </w:p>
  </w:footnote>
  <w:footnote w:id="43">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SIP Revision for the Attainment and Maintenance of the Carbon Monoxide National Ambient Air Quality Standards, Redesignation Request and Maintenance Plan for the New Jersey Portion of</w:t>
      </w:r>
      <w:r>
        <w:rPr>
          <w:rFonts w:ascii="Times New Roman" w:hAnsi="Times New Roman"/>
        </w:rPr>
        <w:t xml:space="preserve"> the New York-Northern New Jersey-Long Island Carbon Monoxide Nonattainment Area, New Jersey Department of Environmental Protection, January 15, 2002.</w:t>
      </w:r>
    </w:p>
  </w:footnote>
  <w:footnote w:id="44">
    <w:p w:rsidR="00000000" w:rsidRDefault="00C40079">
      <w:pPr>
        <w:rPr>
          <w:snapToGrid w:val="0"/>
        </w:rPr>
      </w:pPr>
      <w:r>
        <w:rPr>
          <w:rStyle w:val="FootnoteReference"/>
          <w:vertAlign w:val="superscript"/>
        </w:rPr>
        <w:footnoteRef/>
      </w:r>
      <w:r>
        <w:t xml:space="preserve"> </w:t>
      </w:r>
      <w:r>
        <w:rPr>
          <w:snapToGrid w:val="0"/>
        </w:rPr>
        <w:t>New Jersey Carbon Monoxide State Implementation Plan, Redesignation And Maintenance Plan For Camden Cou</w:t>
      </w:r>
      <w:r>
        <w:rPr>
          <w:snapToGrid w:val="0"/>
        </w:rPr>
        <w:t>nty, New Jersey Department of Environmental Protection, September 29, 1995, and</w:t>
      </w:r>
    </w:p>
    <w:p w:rsidR="00000000" w:rsidRDefault="00C40079">
      <w:pPr>
        <w:pStyle w:val="FootnoteText"/>
        <w:rPr>
          <w:rFonts w:ascii="Times New Roman" w:hAnsi="Times New Roman"/>
        </w:rPr>
      </w:pPr>
      <w:r>
        <w:rPr>
          <w:rFonts w:ascii="Times New Roman" w:hAnsi="Times New Roman"/>
        </w:rPr>
        <w:t>New Jersey Carbon Monoxide State Implementation Plan, Redesignation and Maintenance Plan for the Nine Not-Classified Areas, New Jersey Department of Environmental Protection, S</w:t>
      </w:r>
      <w:r>
        <w:rPr>
          <w:rFonts w:ascii="Times New Roman" w:hAnsi="Times New Roman"/>
        </w:rPr>
        <w:t>eptember 29, 1995.</w:t>
      </w:r>
    </w:p>
  </w:footnote>
  <w:footnote w:id="45">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w:t>
      </w:r>
      <w:r>
        <w:rPr>
          <w:rStyle w:val="FootnoteReference"/>
          <w:rFonts w:ascii="Times New Roman" w:hAnsi="Times New Roman"/>
        </w:rPr>
        <w:t>SIP Revision for the Attainment and Maintenance of the Carbon Monoxide National Ambient Air Quality Standards, Attainment Demonstration for the New Jersey Portion of the New York-Northern New Jersey-Long Island Carbon Monoxide Nonattai</w:t>
      </w:r>
      <w:r>
        <w:rPr>
          <w:rStyle w:val="FootnoteReference"/>
          <w:rFonts w:ascii="Times New Roman" w:hAnsi="Times New Roman"/>
        </w:rPr>
        <w:t>nment Area, New Jersey Department of Environmental Protection, August 7, 1998</w:t>
      </w:r>
      <w:r>
        <w:rPr>
          <w:rFonts w:ascii="Times New Roman" w:hAnsi="Times New Roman"/>
        </w:rPr>
        <w:t>.</w:t>
      </w:r>
    </w:p>
  </w:footnote>
  <w:footnote w:id="46">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USEPA, Memorandum from Joseph Paisie (OAQPS) to Regional Air Branch Chiefs, “Limited Maintenance Plan Option for Non-Classifiable CO Nonattainment Areas,” 10/6/1995.</w:t>
      </w:r>
    </w:p>
  </w:footnote>
  <w:footnote w:id="47">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w:t>
      </w:r>
      <w:r>
        <w:rPr>
          <w:rFonts w:ascii="Times New Roman" w:hAnsi="Times New Roman"/>
          <w:u w:val="single"/>
        </w:rPr>
        <w:t>Op cit</w:t>
      </w:r>
      <w:r>
        <w:rPr>
          <w:rFonts w:ascii="Times New Roman" w:hAnsi="Times New Roman"/>
        </w:rPr>
        <w:t xml:space="preserve">, </w:t>
      </w:r>
      <w:r>
        <w:rPr>
          <w:rFonts w:ascii="Times New Roman" w:hAnsi="Times New Roman"/>
        </w:rPr>
        <w:t>note 43.</w:t>
      </w:r>
    </w:p>
  </w:footnote>
  <w:footnote w:id="48">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w:t>
      </w:r>
      <w:r>
        <w:rPr>
          <w:rStyle w:val="FootnoteReference"/>
          <w:rFonts w:ascii="Times New Roman" w:hAnsi="Times New Roman"/>
        </w:rPr>
        <w:t>USEPA</w:t>
      </w:r>
      <w:r>
        <w:rPr>
          <w:rFonts w:ascii="Times New Roman" w:hAnsi="Times New Roman"/>
        </w:rPr>
        <w:t xml:space="preserve">, </w:t>
      </w:r>
      <w:r>
        <w:rPr>
          <w:rStyle w:val="FootnoteReference"/>
          <w:rFonts w:ascii="Times New Roman" w:hAnsi="Times New Roman"/>
        </w:rPr>
        <w:t>Electronic mail from Henry Feingersh of Region II to Christine Schell</w:t>
      </w:r>
      <w:r>
        <w:rPr>
          <w:rFonts w:ascii="Times New Roman" w:hAnsi="Times New Roman"/>
        </w:rPr>
        <w:t xml:space="preserve">, </w:t>
      </w:r>
      <w:r>
        <w:rPr>
          <w:rStyle w:val="FootnoteReference"/>
          <w:rFonts w:ascii="Times New Roman" w:hAnsi="Times New Roman"/>
        </w:rPr>
        <w:t>NJDEP</w:t>
      </w:r>
      <w:r>
        <w:rPr>
          <w:rFonts w:ascii="Times New Roman" w:hAnsi="Times New Roman"/>
        </w:rPr>
        <w:t>,</w:t>
      </w:r>
      <w:r>
        <w:rPr>
          <w:rStyle w:val="FootnoteReference"/>
          <w:rFonts w:ascii="Times New Roman" w:hAnsi="Times New Roman"/>
        </w:rPr>
        <w:t xml:space="preserve"> Bureau of Air Quality Planning</w:t>
      </w:r>
      <w:r>
        <w:rPr>
          <w:rFonts w:ascii="Times New Roman" w:hAnsi="Times New Roman"/>
        </w:rPr>
        <w:t xml:space="preserve">, </w:t>
      </w:r>
      <w:r>
        <w:rPr>
          <w:rStyle w:val="FootnoteReference"/>
          <w:rFonts w:ascii="Times New Roman" w:hAnsi="Times New Roman"/>
        </w:rPr>
        <w:t>January 27, 2005, 8:45 am.</w:t>
      </w:r>
    </w:p>
  </w:footnote>
  <w:footnote w:id="49">
    <w:p w:rsidR="00000000" w:rsidRDefault="00C40079">
      <w:pPr>
        <w:pStyle w:val="FootnoteText"/>
        <w:rPr>
          <w:rFonts w:ascii="Times New Roman" w:hAnsi="Times New Roman"/>
        </w:rPr>
      </w:pPr>
      <w:r>
        <w:rPr>
          <w:rStyle w:val="FootnoteReference"/>
          <w:rFonts w:ascii="Times New (W1)" w:hAnsi="Times New (W1)"/>
          <w:vertAlign w:val="superscript"/>
        </w:rPr>
        <w:footnoteRef/>
      </w:r>
      <w:r>
        <w:rPr>
          <w:rFonts w:ascii="Times New Roman" w:hAnsi="Times New Roman"/>
        </w:rPr>
        <w:t xml:space="preserve"> NJDEP and USEPA, Region II, Conference call, September 23, 2005. </w:t>
      </w:r>
    </w:p>
  </w:footnote>
  <w:footnote w:id="50">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w:t>
      </w:r>
      <w:r>
        <w:rPr>
          <w:rFonts w:ascii="Times New Roman" w:hAnsi="Times New Roman"/>
          <w:u w:val="single"/>
        </w:rPr>
        <w:t>Ibid</w:t>
      </w:r>
      <w:r>
        <w:rPr>
          <w:rFonts w:ascii="Times New Roman" w:hAnsi="Times New Roman"/>
        </w:rPr>
        <w:t>.</w:t>
      </w:r>
    </w:p>
  </w:footnote>
  <w:footnote w:id="51">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58 </w:t>
      </w:r>
      <w:r>
        <w:rPr>
          <w:rFonts w:ascii="Times New Roman" w:hAnsi="Times New Roman"/>
          <w:u w:val="single"/>
        </w:rPr>
        <w:t>Fed. Reg.</w:t>
      </w:r>
      <w:r>
        <w:rPr>
          <w:rFonts w:ascii="Times New Roman" w:hAnsi="Times New Roman"/>
        </w:rPr>
        <w:t>, 62188 (No</w:t>
      </w:r>
      <w:r>
        <w:rPr>
          <w:rFonts w:ascii="Times New Roman" w:hAnsi="Times New Roman"/>
        </w:rPr>
        <w:t>vember 24, 1993).</w:t>
      </w:r>
    </w:p>
  </w:footnote>
  <w:footnote w:id="52">
    <w:p w:rsidR="00000000" w:rsidRDefault="00C40079">
      <w:pPr>
        <w:pStyle w:val="FootnoteText"/>
      </w:pPr>
      <w:r>
        <w:rPr>
          <w:rStyle w:val="FootnoteReference"/>
          <w:rFonts w:ascii="Times New Roman" w:hAnsi="Times New Roman"/>
          <w:vertAlign w:val="superscript"/>
        </w:rPr>
        <w:footnoteRef/>
      </w:r>
      <w:r>
        <w:rPr>
          <w:rFonts w:ascii="Times New Roman" w:hAnsi="Times New Roman"/>
        </w:rPr>
        <w:t xml:space="preserve"> 58 </w:t>
      </w:r>
      <w:r>
        <w:rPr>
          <w:rFonts w:ascii="Times New Roman" w:hAnsi="Times New Roman"/>
          <w:u w:val="single"/>
        </w:rPr>
        <w:t>Fed. Reg.</w:t>
      </w:r>
      <w:r>
        <w:rPr>
          <w:rFonts w:ascii="Times New Roman" w:hAnsi="Times New Roman"/>
        </w:rPr>
        <w:t>, 63214 (November 30, 1993).</w:t>
      </w:r>
    </w:p>
  </w:footnote>
  <w:footnote w:id="53">
    <w:p w:rsidR="00000000" w:rsidRDefault="00C40079">
      <w:pPr>
        <w:pStyle w:val="FootnoteText"/>
      </w:pPr>
      <w:r>
        <w:rPr>
          <w:rStyle w:val="FootnoteReference"/>
          <w:rFonts w:ascii="Times New Roman" w:hAnsi="Times New Roman"/>
          <w:vertAlign w:val="superscript"/>
        </w:rPr>
        <w:footnoteRef/>
      </w:r>
      <w:r>
        <w:rPr>
          <w:rFonts w:ascii="Times New Roman" w:hAnsi="Times New Roman"/>
        </w:rPr>
        <w:t xml:space="preserve"> New Jersey Carbon Monoxide State Implementation Plan, Redesignation and Maintenance Plan for the Nine Not-Classified Areas, New Jersey Department of Environmental Protection, September 29, 1995</w:t>
      </w:r>
      <w:r>
        <w:rPr>
          <w:rFonts w:ascii="Times New Roman" w:hAnsi="Times New Roman"/>
        </w:rPr>
        <w:t>.</w:t>
      </w:r>
    </w:p>
  </w:footnote>
  <w:footnote w:id="54">
    <w:p w:rsidR="00000000" w:rsidRDefault="00C40079">
      <w:pPr>
        <w:pStyle w:val="FootnoteText"/>
      </w:pPr>
      <w:r>
        <w:rPr>
          <w:rStyle w:val="FootnoteReference"/>
          <w:rFonts w:ascii="Arial (W1)" w:hAnsi="Arial (W1)"/>
          <w:vertAlign w:val="superscript"/>
        </w:rPr>
        <w:footnoteRef/>
      </w:r>
      <w:r>
        <w:t xml:space="preserve"> </w:t>
      </w:r>
      <w:r>
        <w:rPr>
          <w:rFonts w:ascii="Times New Roman" w:hAnsi="Times New Roman"/>
        </w:rPr>
        <w:t>Ibid</w:t>
      </w:r>
    </w:p>
  </w:footnote>
  <w:footnote w:id="55">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42 §U.S.C. 7405.</w:t>
      </w:r>
    </w:p>
  </w:footnote>
  <w:footnote w:id="56">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40 CFR 58.</w:t>
      </w:r>
    </w:p>
  </w:footnote>
  <w:footnote w:id="57">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42 U.S.C. §7505a(d).</w:t>
      </w:r>
    </w:p>
  </w:footnote>
  <w:footnote w:id="58">
    <w:p w:rsidR="00000000" w:rsidRDefault="00C40079">
      <w:pPr>
        <w:pStyle w:val="FootnoteText"/>
      </w:pPr>
      <w:r>
        <w:rPr>
          <w:rStyle w:val="FootnoteReference"/>
          <w:rFonts w:ascii="Times New Roman" w:hAnsi="Times New Roman"/>
          <w:vertAlign w:val="superscript"/>
        </w:rPr>
        <w:footnoteRef/>
      </w:r>
      <w:r>
        <w:rPr>
          <w:rFonts w:ascii="Times New Roman" w:hAnsi="Times New Roman"/>
        </w:rPr>
        <w:t xml:space="preserve"> USEPA, Memorandum from John Calcagni, Director, Air Quality Management Division, to Regional Air Directors, “Procedures for Processing Requests to Redesignate Areas to Attainment,” September</w:t>
      </w:r>
      <w:r>
        <w:rPr>
          <w:rFonts w:ascii="Times New Roman" w:hAnsi="Times New Roman"/>
        </w:rPr>
        <w:t xml:space="preserve"> 4, 1992, page 12.</w:t>
      </w:r>
    </w:p>
  </w:footnote>
  <w:footnote w:id="59">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USEPA, Memorandum from Joseph Paisie (OAQPS) to Regional Air Branch Chiefs, “Limited Maintenance Plan Option for Non-Classifiable CO Nonattainment Areas,” October 6, 1995.</w:t>
      </w:r>
    </w:p>
  </w:footnote>
  <w:footnote w:id="60">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58 </w:t>
      </w:r>
      <w:r>
        <w:rPr>
          <w:rFonts w:ascii="Times New Roman" w:hAnsi="Times New Roman"/>
          <w:u w:val="single"/>
        </w:rPr>
        <w:t>Fed. Reg.,</w:t>
      </w:r>
      <w:r>
        <w:rPr>
          <w:rFonts w:ascii="Times New Roman" w:hAnsi="Times New Roman"/>
        </w:rPr>
        <w:t xml:space="preserve"> 62188 (November 24, 1993).</w:t>
      </w:r>
    </w:p>
  </w:footnote>
  <w:footnote w:id="61">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58 </w:t>
      </w:r>
      <w:r>
        <w:rPr>
          <w:rFonts w:ascii="Times New Roman" w:hAnsi="Times New Roman"/>
          <w:u w:val="single"/>
        </w:rPr>
        <w:t>Fed. Reg.</w:t>
      </w:r>
      <w:r>
        <w:rPr>
          <w:rFonts w:ascii="Times New Roman" w:hAnsi="Times New Roman"/>
        </w:rPr>
        <w:t xml:space="preserve"> 63214</w:t>
      </w:r>
      <w:r>
        <w:rPr>
          <w:rFonts w:ascii="Times New Roman" w:hAnsi="Times New Roman"/>
        </w:rPr>
        <w:t xml:space="preserve"> (November 30, 1993).</w:t>
      </w:r>
    </w:p>
  </w:footnote>
  <w:footnote w:id="62">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w:t>
      </w:r>
      <w:r>
        <w:rPr>
          <w:rFonts w:ascii="Times New Roman" w:hAnsi="Times New Roman"/>
          <w:snapToGrid w:val="0"/>
        </w:rPr>
        <w:t>Environmental review documents are prepared when required by the National Environmental Policy Act.</w:t>
      </w:r>
    </w:p>
  </w:footnote>
  <w:footnote w:id="63">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70 </w:t>
      </w:r>
      <w:r>
        <w:rPr>
          <w:rFonts w:ascii="Times New Roman" w:hAnsi="Times New Roman"/>
          <w:u w:val="single"/>
        </w:rPr>
        <w:t>Fed. Reg.</w:t>
      </w:r>
      <w:r>
        <w:rPr>
          <w:rFonts w:ascii="Times New Roman" w:hAnsi="Times New Roman"/>
        </w:rPr>
        <w:t xml:space="preserve"> 44470 (August 3, 2005).</w:t>
      </w:r>
    </w:p>
  </w:footnote>
  <w:footnote w:id="64">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SO</w:t>
      </w:r>
      <w:r>
        <w:rPr>
          <w:rFonts w:ascii="Times New Roman" w:hAnsi="Times New Roman"/>
          <w:vertAlign w:val="subscript"/>
        </w:rPr>
        <w:t>2</w:t>
      </w:r>
      <w:r>
        <w:rPr>
          <w:rFonts w:ascii="Times New Roman" w:hAnsi="Times New Roman"/>
        </w:rPr>
        <w:t xml:space="preserve"> has been reported in the inventory instead of SO</w:t>
      </w:r>
      <w:r>
        <w:rPr>
          <w:rFonts w:ascii="Times New Roman" w:hAnsi="Times New Roman"/>
          <w:vertAlign w:val="subscript"/>
        </w:rPr>
        <w:t>x</w:t>
      </w:r>
      <w:r>
        <w:rPr>
          <w:rFonts w:ascii="Times New Roman" w:hAnsi="Times New Roman"/>
        </w:rPr>
        <w:t xml:space="preserve"> as required in the Consolidated Emiss</w:t>
      </w:r>
      <w:r>
        <w:rPr>
          <w:rFonts w:ascii="Times New Roman" w:hAnsi="Times New Roman"/>
        </w:rPr>
        <w:t>ions Reporting Rule because the USEPA MOBILE and NONROAD models and the majority of USEPA guidance on emission factors is based on SO</w:t>
      </w:r>
      <w:r>
        <w:rPr>
          <w:rFonts w:ascii="Times New Roman" w:hAnsi="Times New Roman"/>
          <w:vertAlign w:val="subscript"/>
        </w:rPr>
        <w:t>2</w:t>
      </w:r>
      <w:r>
        <w:rPr>
          <w:rFonts w:ascii="Times New Roman" w:hAnsi="Times New Roman"/>
        </w:rPr>
        <w:t>, not SO</w:t>
      </w:r>
      <w:r>
        <w:rPr>
          <w:rFonts w:ascii="Times New Roman" w:hAnsi="Times New Roman"/>
          <w:vertAlign w:val="subscript"/>
        </w:rPr>
        <w:t>x</w:t>
      </w:r>
      <w:r>
        <w:rPr>
          <w:rFonts w:ascii="Times New Roman" w:hAnsi="Times New Roman"/>
        </w:rPr>
        <w:t>.  In addition, the USEPA National Emissions Inventory (NEI) reports SO</w:t>
      </w:r>
      <w:r>
        <w:rPr>
          <w:rFonts w:ascii="Times New Roman" w:hAnsi="Times New Roman"/>
          <w:vertAlign w:val="subscript"/>
        </w:rPr>
        <w:t>2</w:t>
      </w:r>
      <w:r>
        <w:rPr>
          <w:rFonts w:ascii="Times New Roman" w:hAnsi="Times New Roman"/>
        </w:rPr>
        <w:t>.</w:t>
      </w:r>
    </w:p>
  </w:footnote>
  <w:footnote w:id="65">
    <w:p w:rsidR="00000000" w:rsidRDefault="00C40079">
      <w:pPr>
        <w:pStyle w:val="FootnoteText"/>
        <w:rPr>
          <w:rFonts w:ascii="Times New Roman" w:hAnsi="Times New Roman"/>
        </w:rPr>
      </w:pPr>
      <w:r>
        <w:rPr>
          <w:rStyle w:val="FootnoteReference"/>
          <w:rFonts w:ascii="Times New Roman" w:hAnsi="Times New Roman"/>
          <w:sz w:val="24"/>
          <w:vertAlign w:val="superscript"/>
        </w:rPr>
        <w:footnoteRef/>
      </w:r>
      <w:r>
        <w:rPr>
          <w:rFonts w:ascii="Times New Roman" w:hAnsi="Times New Roman"/>
        </w:rPr>
        <w:t xml:space="preserve"> 40 CFR 52.1570 et seq.</w:t>
      </w:r>
    </w:p>
  </w:footnote>
  <w:footnote w:id="66">
    <w:p w:rsidR="00000000" w:rsidRDefault="00C40079">
      <w:pPr>
        <w:pStyle w:val="FootnoteText"/>
        <w:rPr>
          <w:rFonts w:ascii="Times New Roman" w:hAnsi="Times New Roman"/>
        </w:rPr>
      </w:pPr>
      <w:r>
        <w:rPr>
          <w:rStyle w:val="FootnoteReference"/>
          <w:rFonts w:ascii="Times New Roman" w:hAnsi="Times New Roman"/>
          <w:sz w:val="24"/>
          <w:vertAlign w:val="superscript"/>
        </w:rPr>
        <w:footnoteRef/>
      </w:r>
      <w:r>
        <w:rPr>
          <w:rFonts w:ascii="Times New Roman" w:hAnsi="Times New Roman"/>
        </w:rPr>
        <w:t xml:space="preserve"> USEPA, Lette</w:t>
      </w:r>
      <w:r>
        <w:rPr>
          <w:rFonts w:ascii="Times New Roman" w:hAnsi="Times New Roman"/>
        </w:rPr>
        <w:t>r from USEPA Region II to Anthony McMahon, dated August 29, 1989.</w:t>
      </w:r>
    </w:p>
  </w:footnote>
  <w:footnote w:id="67">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61 </w:t>
      </w:r>
      <w:r>
        <w:rPr>
          <w:rFonts w:ascii="Times New Roman" w:hAnsi="Times New Roman"/>
          <w:u w:val="single"/>
        </w:rPr>
        <w:t>Fed. Reg.</w:t>
      </w:r>
      <w:r>
        <w:rPr>
          <w:rFonts w:ascii="Times New Roman" w:hAnsi="Times New Roman"/>
        </w:rPr>
        <w:t xml:space="preserve"> 33678 (June 28, 1996) and 60 </w:t>
      </w:r>
      <w:r>
        <w:rPr>
          <w:rFonts w:ascii="Times New Roman" w:hAnsi="Times New Roman"/>
          <w:u w:val="single"/>
        </w:rPr>
        <w:t>Fed. Reg.</w:t>
      </w:r>
      <w:r>
        <w:rPr>
          <w:rFonts w:ascii="Times New Roman" w:hAnsi="Times New Roman"/>
        </w:rPr>
        <w:t xml:space="preserve"> 62741 (December 7, 1997).</w:t>
      </w:r>
    </w:p>
  </w:footnote>
  <w:footnote w:id="68">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27 </w:t>
      </w:r>
      <w:r>
        <w:rPr>
          <w:rFonts w:ascii="Times New Roman" w:hAnsi="Times New Roman"/>
          <w:u w:val="single"/>
        </w:rPr>
        <w:t>NJ Reg.</w:t>
      </w:r>
      <w:r>
        <w:rPr>
          <w:rFonts w:ascii="Times New Roman" w:hAnsi="Times New Roman"/>
        </w:rPr>
        <w:t xml:space="preserve">,. 4731 (November 20, 1995) and 28 </w:t>
      </w:r>
      <w:r>
        <w:rPr>
          <w:rFonts w:ascii="Times New Roman" w:hAnsi="Times New Roman"/>
          <w:u w:val="single"/>
        </w:rPr>
        <w:t>NJ Reg</w:t>
      </w:r>
      <w:r>
        <w:rPr>
          <w:rFonts w:ascii="Times New Roman" w:hAnsi="Times New Roman"/>
        </w:rPr>
        <w:t>. 851 (February 5, 1996).</w:t>
      </w:r>
    </w:p>
  </w:footnote>
  <w:footnote w:id="69">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62 </w:t>
      </w:r>
      <w:r>
        <w:rPr>
          <w:rFonts w:ascii="Times New Roman" w:hAnsi="Times New Roman"/>
          <w:u w:val="single"/>
        </w:rPr>
        <w:t>Fed. Reg.</w:t>
      </w:r>
      <w:r>
        <w:rPr>
          <w:rFonts w:ascii="Times New Roman" w:hAnsi="Times New Roman"/>
        </w:rPr>
        <w:t xml:space="preserve"> 26401 (May 14, 1</w:t>
      </w:r>
      <w:r>
        <w:rPr>
          <w:rFonts w:ascii="Times New Roman" w:hAnsi="Times New Roman"/>
        </w:rPr>
        <w:t>997).</w:t>
      </w:r>
    </w:p>
  </w:footnote>
  <w:footnote w:id="70">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66 </w:t>
      </w:r>
      <w:r>
        <w:rPr>
          <w:rFonts w:ascii="Times New Roman" w:hAnsi="Times New Roman"/>
          <w:u w:val="single"/>
        </w:rPr>
        <w:t>Fed. Reg.</w:t>
      </w:r>
      <w:r>
        <w:rPr>
          <w:rFonts w:ascii="Times New Roman" w:hAnsi="Times New Roman"/>
        </w:rPr>
        <w:t xml:space="preserve"> 47130.</w:t>
      </w:r>
    </w:p>
  </w:footnote>
  <w:footnote w:id="71">
    <w:p w:rsidR="00000000" w:rsidRDefault="00C40079">
      <w:pPr>
        <w:pStyle w:val="FootnoteText"/>
      </w:pPr>
      <w:r>
        <w:rPr>
          <w:rStyle w:val="FootnoteReference"/>
          <w:rFonts w:ascii="Times New Roman" w:hAnsi="Times New Roman"/>
          <w:vertAlign w:val="superscript"/>
        </w:rPr>
        <w:footnoteRef/>
      </w:r>
      <w:r>
        <w:rPr>
          <w:rFonts w:ascii="Times New Roman" w:hAnsi="Times New Roman"/>
        </w:rPr>
        <w:t xml:space="preserve"> 64 </w:t>
      </w:r>
      <w:r>
        <w:rPr>
          <w:rFonts w:ascii="Times New Roman" w:hAnsi="Times New Roman"/>
          <w:u w:val="single"/>
        </w:rPr>
        <w:t>Fed. Reg.</w:t>
      </w:r>
      <w:r>
        <w:rPr>
          <w:rFonts w:ascii="Times New Roman" w:hAnsi="Times New Roman"/>
        </w:rPr>
        <w:t xml:space="preserve"> 48970.</w:t>
      </w:r>
    </w:p>
  </w:footnote>
  <w:footnote w:id="72">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60 </w:t>
      </w:r>
      <w:r>
        <w:rPr>
          <w:rFonts w:ascii="Times New Roman" w:hAnsi="Times New Roman"/>
          <w:u w:val="single"/>
        </w:rPr>
        <w:t>Fed. Reg.</w:t>
      </w:r>
      <w:r>
        <w:rPr>
          <w:rFonts w:ascii="Times New Roman" w:hAnsi="Times New Roman"/>
        </w:rPr>
        <w:t xml:space="preserve"> 62741.</w:t>
      </w:r>
    </w:p>
  </w:footnote>
  <w:footnote w:id="73">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61 </w:t>
      </w:r>
      <w:r>
        <w:rPr>
          <w:rFonts w:ascii="Times New Roman" w:hAnsi="Times New Roman"/>
          <w:u w:val="single"/>
        </w:rPr>
        <w:t>Fed. Reg.</w:t>
      </w:r>
      <w:r>
        <w:rPr>
          <w:rFonts w:ascii="Times New Roman" w:hAnsi="Times New Roman"/>
        </w:rPr>
        <w:t xml:space="preserve"> 33678.</w:t>
      </w:r>
    </w:p>
  </w:footnote>
  <w:footnote w:id="74">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42 U.S.C. 7512(a)(4).</w:t>
      </w:r>
    </w:p>
  </w:footnote>
  <w:footnote w:id="75">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NJDEP, Letter from Robert C. Shinn, Commissioner to Jeanne M. Fox, Regional Administrator, USEPA, Region II, dated April 24, 1996.</w:t>
      </w:r>
    </w:p>
  </w:footnote>
  <w:footnote w:id="76">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USE</w:t>
      </w:r>
      <w:r>
        <w:rPr>
          <w:rFonts w:ascii="Times New Roman" w:hAnsi="Times New Roman"/>
        </w:rPr>
        <w:t>PA memorandum dated October 23, 1995, entitled Criteria for Granting Attainment Date Extensions, Making Attainment Determinations, and Determinations of Failure to Attain the NAAQS for Moderate Carbon Monoxide Nonattainment Areas, from Sally L. Shaver, Dir</w:t>
      </w:r>
      <w:r>
        <w:rPr>
          <w:rFonts w:ascii="Times New Roman" w:hAnsi="Times New Roman"/>
        </w:rPr>
        <w:t>ector, Air Quality Strategies and Standards Division, to Regional Air Office Directors.</w:t>
      </w:r>
    </w:p>
  </w:footnote>
  <w:footnote w:id="77">
    <w:p w:rsidR="00000000" w:rsidRDefault="00C40079">
      <w:pPr>
        <w:pStyle w:val="FootnoteText"/>
      </w:pPr>
      <w:r>
        <w:rPr>
          <w:rStyle w:val="FootnoteReference"/>
          <w:rFonts w:ascii="Times New Roman" w:hAnsi="Times New Roman"/>
          <w:vertAlign w:val="superscript"/>
        </w:rPr>
        <w:footnoteRef/>
      </w:r>
      <w:r>
        <w:rPr>
          <w:rFonts w:ascii="Times New Roman" w:hAnsi="Times New Roman"/>
        </w:rPr>
        <w:t xml:space="preserve"> 42 U.S.C. 7512(a).</w:t>
      </w:r>
    </w:p>
  </w:footnote>
  <w:footnote w:id="78">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30</w:t>
      </w:r>
      <w:r>
        <w:rPr>
          <w:rFonts w:ascii="Times New Roman" w:hAnsi="Times New Roman"/>
          <w:u w:val="single"/>
        </w:rPr>
        <w:t xml:space="preserve"> NJ Reg.</w:t>
      </w:r>
      <w:r>
        <w:rPr>
          <w:rFonts w:ascii="Times New Roman" w:hAnsi="Times New Roman"/>
        </w:rPr>
        <w:t>, 3025.</w:t>
      </w:r>
    </w:p>
  </w:footnote>
  <w:footnote w:id="79">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64 </w:t>
      </w:r>
      <w:r>
        <w:rPr>
          <w:rFonts w:ascii="Times New Roman" w:hAnsi="Times New Roman"/>
          <w:u w:val="single"/>
        </w:rPr>
        <w:t>Fed. Reg.</w:t>
      </w:r>
      <w:r>
        <w:rPr>
          <w:rFonts w:ascii="Times New Roman" w:hAnsi="Times New Roman"/>
        </w:rPr>
        <w:t>, 48970.</w:t>
      </w:r>
    </w:p>
  </w:footnote>
  <w:footnote w:id="80">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64 </w:t>
      </w:r>
      <w:r>
        <w:rPr>
          <w:rFonts w:ascii="Times New Roman" w:hAnsi="Times New Roman"/>
          <w:u w:val="single"/>
        </w:rPr>
        <w:t>Fed. Reg.</w:t>
      </w:r>
      <w:r>
        <w:rPr>
          <w:rFonts w:ascii="Times New Roman" w:hAnsi="Times New Roman"/>
        </w:rPr>
        <w:t xml:space="preserve"> 63690.</w:t>
      </w:r>
    </w:p>
  </w:footnote>
  <w:footnote w:id="81">
    <w:p w:rsidR="00000000" w:rsidRDefault="00C40079">
      <w:pPr>
        <w:pStyle w:val="FootnoteText"/>
      </w:pPr>
      <w:r>
        <w:rPr>
          <w:rStyle w:val="FootnoteReference"/>
          <w:rFonts w:ascii="Times New Roman" w:hAnsi="Times New Roman"/>
          <w:vertAlign w:val="superscript"/>
        </w:rPr>
        <w:footnoteRef/>
      </w:r>
      <w:r>
        <w:rPr>
          <w:rFonts w:ascii="Times New Roman" w:hAnsi="Times New Roman"/>
        </w:rPr>
        <w:t xml:space="preserve"> NJDEP, SIP Revision for the Attainment and Maintenance of the Carbon Monoxide NA</w:t>
      </w:r>
      <w:r>
        <w:rPr>
          <w:rFonts w:ascii="Times New Roman" w:hAnsi="Times New Roman"/>
        </w:rPr>
        <w:t>AQS, Redesignation Request and Maintenance Plan for the New Jersey Portion of the New York/Northern New Jersey/Long Island Carbon Monoxide Nonattainment Area, January 15, 2002.</w:t>
      </w:r>
    </w:p>
  </w:footnote>
  <w:footnote w:id="82">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NJ SIP Revision, Meeting the Requirements of the Alternative Ozone Attainment</w:t>
      </w:r>
      <w:r>
        <w:rPr>
          <w:rFonts w:ascii="Times New Roman" w:hAnsi="Times New Roman"/>
        </w:rPr>
        <w:t xml:space="preserve"> Demonstration Policy-Phase II Ozone Submittal, August 31, 1998.</w:t>
      </w:r>
    </w:p>
  </w:footnote>
  <w:footnote w:id="83">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USEPA, Memorandum from Mary D. Nichols, Assistant Administrator for Air and Radiation to the Regional Administrators, Region I-X.  This Policy is commonly referred as "The March 2</w:t>
      </w:r>
      <w:r>
        <w:rPr>
          <w:rFonts w:ascii="Times New Roman" w:hAnsi="Times New Roman"/>
          <w:vertAlign w:val="superscript"/>
        </w:rPr>
        <w:t>nd</w:t>
      </w:r>
      <w:r>
        <w:rPr>
          <w:rFonts w:ascii="Times New Roman" w:hAnsi="Times New Roman"/>
        </w:rPr>
        <w:t xml:space="preserve"> Policy,</w:t>
      </w:r>
      <w:r>
        <w:rPr>
          <w:rFonts w:ascii="Times New Roman" w:hAnsi="Times New Roman"/>
        </w:rPr>
        <w:t>" March 2, 1995.</w:t>
      </w:r>
    </w:p>
  </w:footnote>
  <w:footnote w:id="84">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USEPA, Memorandum from Richard D. Wilson, Acting Assistant Administrator for the Office of Air and Radiation to the Regional Administrators, Regions I-X,  “Guidance for Implementing the 1-Hour Ozone and Pre-Existing PM</w:t>
      </w:r>
      <w:r>
        <w:rPr>
          <w:rFonts w:ascii="Times New Roman" w:hAnsi="Times New Roman"/>
          <w:vertAlign w:val="subscript"/>
        </w:rPr>
        <w:t>10</w:t>
      </w:r>
      <w:r>
        <w:rPr>
          <w:rFonts w:ascii="Times New Roman" w:hAnsi="Times New Roman"/>
        </w:rPr>
        <w:t xml:space="preserve"> NAAQS,” December</w:t>
      </w:r>
      <w:r>
        <w:rPr>
          <w:rFonts w:ascii="Times New Roman" w:hAnsi="Times New Roman"/>
        </w:rPr>
        <w:t xml:space="preserve"> 29, 1997.</w:t>
      </w:r>
    </w:p>
  </w:footnote>
  <w:footnote w:id="85">
    <w:p w:rsidR="00000000" w:rsidRDefault="00C40079">
      <w:pPr>
        <w:pStyle w:val="FootnoteText"/>
      </w:pPr>
      <w:r>
        <w:rPr>
          <w:rStyle w:val="FootnoteReference"/>
          <w:rFonts w:ascii="Times New Roman" w:hAnsi="Times New Roman"/>
          <w:vertAlign w:val="superscript"/>
        </w:rPr>
        <w:footnoteRef/>
      </w:r>
      <w:r>
        <w:rPr>
          <w:rFonts w:ascii="Times New Roman" w:hAnsi="Times New Roman"/>
        </w:rPr>
        <w:t xml:space="preserve"> USEPA, Guidance for Improving Weight of Evidence Through Identification of Additional Emission Reductions Not Modeled, November, 1999.</w:t>
      </w:r>
    </w:p>
  </w:footnote>
  <w:footnote w:id="86">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New Jersey Department of Environmental Protection, State Implementation Plan (SIP) Revision for the Attain</w:t>
      </w:r>
      <w:r>
        <w:rPr>
          <w:rFonts w:ascii="Times New Roman" w:hAnsi="Times New Roman"/>
        </w:rPr>
        <w:t>ment and Maintenance of the One-Hour Ozone National Ambient Air Quality Standard, Update to Meeting the Requirements of the Alternative Ozone Attainment Demonstration Policy-Additional Emission Reduction Commitment and Transportation Conformity Budgets, Ap</w:t>
      </w:r>
      <w:r>
        <w:rPr>
          <w:rFonts w:ascii="Times New Roman" w:hAnsi="Times New Roman"/>
        </w:rPr>
        <w:t>ril 26, 2000.</w:t>
      </w:r>
    </w:p>
  </w:footnote>
  <w:footnote w:id="87">
    <w:p w:rsidR="00000000" w:rsidRDefault="00C40079">
      <w:pPr>
        <w:pStyle w:val="FootnoteText"/>
      </w:pPr>
      <w:r>
        <w:rPr>
          <w:rStyle w:val="FootnoteReference"/>
          <w:rFonts w:ascii="Times New Roman" w:hAnsi="Times New Roman"/>
          <w:vertAlign w:val="superscript"/>
        </w:rPr>
        <w:footnoteRef/>
      </w:r>
      <w:r>
        <w:rPr>
          <w:rFonts w:ascii="Times New Roman" w:hAnsi="Times New Roman"/>
        </w:rPr>
        <w:t xml:space="preserve"> 64 </w:t>
      </w:r>
      <w:r>
        <w:rPr>
          <w:rFonts w:ascii="Times New Roman" w:hAnsi="Times New Roman"/>
          <w:u w:val="single"/>
        </w:rPr>
        <w:t>Fed. Reg.</w:t>
      </w:r>
      <w:r>
        <w:rPr>
          <w:rFonts w:ascii="Times New Roman" w:hAnsi="Times New Roman"/>
        </w:rPr>
        <w:t xml:space="preserve"> 70380, (December 16, 1999).</w:t>
      </w:r>
    </w:p>
  </w:footnote>
  <w:footnote w:id="88">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New Jersey Department of Environmental Protection and Energy, State Implementation Plan (SIP) Revision for the Attainment and Maintenance of the Ozone National Ambient Air Quality Standards, Meetin</w:t>
      </w:r>
      <w:r>
        <w:rPr>
          <w:rFonts w:ascii="Times New Roman" w:hAnsi="Times New Roman"/>
        </w:rPr>
        <w:t>g the Federal Clean Air Act Requirements, November 15, 1993.</w:t>
      </w:r>
    </w:p>
  </w:footnote>
  <w:footnote w:id="89">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The State of New Jersey, Department of Environmental Protection, State Implementation Plan (SIP) Revision for the Attainment and Maintenance of the Ozone National Ambient Air Quality Standards,</w:t>
      </w:r>
      <w:r>
        <w:rPr>
          <w:rFonts w:ascii="Times New Roman" w:hAnsi="Times New Roman"/>
        </w:rPr>
        <w:t xml:space="preserve"> Meeting the Requirements of the Alternative Ozone Attainment Demonstration Policy, Phase I Ozone SIP submittal, December 31, 1996.</w:t>
      </w:r>
    </w:p>
  </w:footnote>
  <w:footnote w:id="90">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62 </w:t>
      </w:r>
      <w:r>
        <w:rPr>
          <w:rFonts w:ascii="Times New Roman" w:hAnsi="Times New Roman"/>
          <w:u w:val="single"/>
        </w:rPr>
        <w:t>Fed. Reg.</w:t>
      </w:r>
      <w:r>
        <w:rPr>
          <w:rFonts w:ascii="Times New Roman" w:hAnsi="Times New Roman"/>
        </w:rPr>
        <w:t xml:space="preserve"> 35100 (June 30, 1997).</w:t>
      </w:r>
    </w:p>
  </w:footnote>
  <w:footnote w:id="91">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In a letter dated May 29, 1997, New Jersey committed to perform the modeling necessa</w:t>
      </w:r>
      <w:r>
        <w:rPr>
          <w:rFonts w:ascii="Times New Roman" w:hAnsi="Times New Roman"/>
        </w:rPr>
        <w:t>ry to estimate the emissions reductions that would result from the enhanced I/M program, as implemented, within 12 months from the effective date of the USEPA’s approval action (that is, by July 30, 1998).</w:t>
      </w:r>
    </w:p>
  </w:footnote>
  <w:footnote w:id="92">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Letter dated December 12, 1997 to New Jersey Gov</w:t>
      </w:r>
      <w:r>
        <w:rPr>
          <w:rFonts w:ascii="Times New Roman" w:hAnsi="Times New Roman"/>
        </w:rPr>
        <w:t>ernor Christine Todd Whitman from Regional Administrator Muszynski, and a similar but more detailed letter dated December 12, 1997 to Commissioner Robert C. Shinn, Jr., NJDEP and Commissioner John J. Haley, Jr., New Jersey Department of Transportation, fro</w:t>
      </w:r>
      <w:r>
        <w:rPr>
          <w:rFonts w:ascii="Times New Roman" w:hAnsi="Times New Roman"/>
        </w:rPr>
        <w:t xml:space="preserve">m Deputy Regional Administrator William J. Muszynski, P.E., USEPA, Region II.  This action was later formalized by the USEPA at 63 </w:t>
      </w:r>
      <w:r>
        <w:rPr>
          <w:rFonts w:ascii="Times New Roman" w:hAnsi="Times New Roman"/>
          <w:u w:val="single"/>
        </w:rPr>
        <w:t>Fed. Reg.</w:t>
      </w:r>
      <w:r>
        <w:rPr>
          <w:rFonts w:ascii="Times New Roman" w:hAnsi="Times New Roman"/>
        </w:rPr>
        <w:t xml:space="preserve"> 45399 (August 26, 1998).</w:t>
      </w:r>
    </w:p>
  </w:footnote>
  <w:footnote w:id="93">
    <w:p w:rsidR="00000000" w:rsidRDefault="00C40079">
      <w:pPr>
        <w:pStyle w:val="FootnoteText"/>
      </w:pPr>
      <w:r>
        <w:rPr>
          <w:rStyle w:val="FootnoteReference"/>
          <w:rFonts w:ascii="Times New Roman" w:hAnsi="Times New Roman"/>
          <w:vertAlign w:val="superscript"/>
        </w:rPr>
        <w:footnoteRef/>
      </w:r>
      <w:r>
        <w:rPr>
          <w:rFonts w:ascii="Times New Roman" w:hAnsi="Times New Roman"/>
        </w:rPr>
        <w:t xml:space="preserve"> 64 </w:t>
      </w:r>
      <w:r>
        <w:rPr>
          <w:rFonts w:ascii="Times New Roman" w:hAnsi="Times New Roman"/>
          <w:u w:val="single"/>
        </w:rPr>
        <w:t>Fed. Reg.</w:t>
      </w:r>
      <w:r>
        <w:rPr>
          <w:rFonts w:ascii="Times New Roman" w:hAnsi="Times New Roman"/>
        </w:rPr>
        <w:t xml:space="preserve"> 19913 (April 23, 1999).</w:t>
      </w:r>
    </w:p>
  </w:footnote>
  <w:footnote w:id="94">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NJDEP, State Implementation Plan revision for the</w:t>
      </w:r>
      <w:r>
        <w:rPr>
          <w:rFonts w:ascii="Times New Roman" w:hAnsi="Times New Roman"/>
        </w:rPr>
        <w:t xml:space="preserve"> Attainment and Maintenance of the Ozone National Ambient Air Quality Standard, New Jersey 1996 Actual Emission Inventory and Rate of Progress (ROP) Plans for 2002, 2005 and 2007, March 31, 2001.</w:t>
      </w:r>
    </w:p>
  </w:footnote>
  <w:footnote w:id="95">
    <w:p w:rsidR="00000000" w:rsidRDefault="00C40079">
      <w:pPr>
        <w:pStyle w:val="FootnoteText"/>
      </w:pPr>
      <w:r>
        <w:rPr>
          <w:rStyle w:val="FootnoteReference"/>
          <w:rFonts w:ascii="Times New Roman" w:hAnsi="Times New Roman"/>
          <w:vertAlign w:val="superscript"/>
        </w:rPr>
        <w:footnoteRef/>
      </w:r>
      <w:r>
        <w:rPr>
          <w:rFonts w:ascii="Times New Roman" w:hAnsi="Times New Roman"/>
        </w:rPr>
        <w:t xml:space="preserve"> 42 U.S.C. §7511a(c)(2)(B)(ii).</w:t>
      </w:r>
    </w:p>
  </w:footnote>
  <w:footnote w:id="96">
    <w:p w:rsidR="00000000" w:rsidRDefault="00C40079">
      <w:pPr>
        <w:pStyle w:val="FootnoteText"/>
        <w:rPr>
          <w:rFonts w:ascii="Times New Roman" w:hAnsi="Times New Roman"/>
        </w:rPr>
      </w:pPr>
      <w:r>
        <w:rPr>
          <w:rStyle w:val="FootnoteReference"/>
          <w:rFonts w:ascii="Times New Roman" w:hAnsi="Times New Roman"/>
          <w:vertAlign w:val="superscript"/>
        </w:rPr>
        <w:footnoteRef/>
      </w:r>
      <w:r>
        <w:rPr>
          <w:rFonts w:ascii="Times New Roman" w:hAnsi="Times New Roman"/>
        </w:rPr>
        <w:t xml:space="preserve"> NJDEP, SIP Revision for t</w:t>
      </w:r>
      <w:r>
        <w:rPr>
          <w:rFonts w:ascii="Times New Roman" w:hAnsi="Times New Roman"/>
        </w:rPr>
        <w:t>he Attainment and Maintenance of the Ozone NAAQS, New Jersey Revised Motor Vehicle Emission Inventories and Transportation Conformity Budgets Using the MOBILE6 Model, April 4, 2003.</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000" w:rsidRDefault="00C40079">
    <w:pPr>
      <w:pStyle w:val="Header"/>
      <w:jc w:val="center"/>
      <w:rPr>
        <w:b/>
        <w:i/>
        <w:sz w:val="3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000" w:rsidRDefault="00C40079">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27788D"/>
    <w:multiLevelType w:val="singleLevel"/>
    <w:tmpl w:val="C608A434"/>
    <w:lvl w:ilvl="0">
      <w:start w:val="1"/>
      <w:numFmt w:val="decimal"/>
      <w:lvlText w:val="(%1)"/>
      <w:lvlJc w:val="left"/>
      <w:pPr>
        <w:tabs>
          <w:tab w:val="num" w:pos="360"/>
        </w:tabs>
        <w:ind w:left="360" w:hanging="360"/>
      </w:pPr>
    </w:lvl>
  </w:abstractNum>
  <w:abstractNum w:abstractNumId="1" w15:restartNumberingAfterBreak="0">
    <w:nsid w:val="003C197B"/>
    <w:multiLevelType w:val="singleLevel"/>
    <w:tmpl w:val="17A207E4"/>
    <w:lvl w:ilvl="0">
      <w:start w:val="1"/>
      <w:numFmt w:val="decimal"/>
      <w:lvlText w:val="%1)"/>
      <w:lvlJc w:val="left"/>
      <w:pPr>
        <w:tabs>
          <w:tab w:val="num" w:pos="360"/>
        </w:tabs>
        <w:ind w:left="360" w:hanging="360"/>
      </w:pPr>
    </w:lvl>
  </w:abstractNum>
  <w:abstractNum w:abstractNumId="2" w15:restartNumberingAfterBreak="0">
    <w:nsid w:val="013D31EA"/>
    <w:multiLevelType w:val="singleLevel"/>
    <w:tmpl w:val="1C2662DE"/>
    <w:lvl w:ilvl="0">
      <w:start w:val="1"/>
      <w:numFmt w:val="upperLetter"/>
      <w:lvlText w:val="%1."/>
      <w:lvlJc w:val="left"/>
      <w:pPr>
        <w:tabs>
          <w:tab w:val="num" w:pos="360"/>
        </w:tabs>
        <w:ind w:left="360" w:hanging="360"/>
      </w:pPr>
    </w:lvl>
  </w:abstractNum>
  <w:abstractNum w:abstractNumId="3" w15:restartNumberingAfterBreak="0">
    <w:nsid w:val="034F2605"/>
    <w:multiLevelType w:val="singleLevel"/>
    <w:tmpl w:val="C608A434"/>
    <w:lvl w:ilvl="0">
      <w:start w:val="1"/>
      <w:numFmt w:val="decimal"/>
      <w:lvlText w:val="(%1)"/>
      <w:lvlJc w:val="left"/>
      <w:pPr>
        <w:tabs>
          <w:tab w:val="num" w:pos="360"/>
        </w:tabs>
        <w:ind w:left="360" w:hanging="360"/>
      </w:pPr>
    </w:lvl>
  </w:abstractNum>
  <w:abstractNum w:abstractNumId="4" w15:restartNumberingAfterBreak="0">
    <w:nsid w:val="03BB5001"/>
    <w:multiLevelType w:val="singleLevel"/>
    <w:tmpl w:val="04090011"/>
    <w:lvl w:ilvl="0">
      <w:start w:val="1"/>
      <w:numFmt w:val="decimal"/>
      <w:lvlText w:val="%1)"/>
      <w:lvlJc w:val="left"/>
      <w:pPr>
        <w:tabs>
          <w:tab w:val="num" w:pos="360"/>
        </w:tabs>
        <w:ind w:left="360" w:hanging="360"/>
      </w:pPr>
    </w:lvl>
  </w:abstractNum>
  <w:abstractNum w:abstractNumId="5" w15:restartNumberingAfterBreak="0">
    <w:nsid w:val="045A20A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4F42FFC"/>
    <w:multiLevelType w:val="singleLevel"/>
    <w:tmpl w:val="172664DC"/>
    <w:lvl w:ilvl="0">
      <w:start w:val="1"/>
      <w:numFmt w:val="decimal"/>
      <w:lvlText w:val="(%1)"/>
      <w:lvlJc w:val="left"/>
      <w:pPr>
        <w:tabs>
          <w:tab w:val="num" w:pos="360"/>
        </w:tabs>
        <w:ind w:left="360" w:hanging="360"/>
      </w:pPr>
      <w:rPr>
        <w:rFonts w:hint="default"/>
      </w:rPr>
    </w:lvl>
  </w:abstractNum>
  <w:abstractNum w:abstractNumId="7" w15:restartNumberingAfterBreak="0">
    <w:nsid w:val="06690972"/>
    <w:multiLevelType w:val="singleLevel"/>
    <w:tmpl w:val="0409000F"/>
    <w:lvl w:ilvl="0">
      <w:start w:val="1"/>
      <w:numFmt w:val="decimal"/>
      <w:lvlText w:val="%1."/>
      <w:lvlJc w:val="left"/>
      <w:pPr>
        <w:tabs>
          <w:tab w:val="num" w:pos="720"/>
        </w:tabs>
        <w:ind w:left="720" w:hanging="360"/>
      </w:pPr>
    </w:lvl>
  </w:abstractNum>
  <w:abstractNum w:abstractNumId="8" w15:restartNumberingAfterBreak="0">
    <w:nsid w:val="06E772C7"/>
    <w:multiLevelType w:val="singleLevel"/>
    <w:tmpl w:val="0E760670"/>
    <w:lvl w:ilvl="0">
      <w:start w:val="5"/>
      <w:numFmt w:val="decimal"/>
      <w:lvlText w:val="%1."/>
      <w:lvlJc w:val="left"/>
      <w:pPr>
        <w:tabs>
          <w:tab w:val="num" w:pos="1800"/>
        </w:tabs>
        <w:ind w:left="1800" w:hanging="360"/>
      </w:pPr>
      <w:rPr>
        <w:rFonts w:hint="default"/>
      </w:rPr>
    </w:lvl>
  </w:abstractNum>
  <w:abstractNum w:abstractNumId="9" w15:restartNumberingAfterBreak="0">
    <w:nsid w:val="085971BC"/>
    <w:multiLevelType w:val="singleLevel"/>
    <w:tmpl w:val="04090011"/>
    <w:lvl w:ilvl="0">
      <w:start w:val="1"/>
      <w:numFmt w:val="decimal"/>
      <w:lvlText w:val="%1)"/>
      <w:lvlJc w:val="left"/>
      <w:pPr>
        <w:tabs>
          <w:tab w:val="num" w:pos="360"/>
        </w:tabs>
        <w:ind w:left="360" w:hanging="360"/>
      </w:pPr>
      <w:rPr>
        <w:rFonts w:hint="default"/>
      </w:rPr>
    </w:lvl>
  </w:abstractNum>
  <w:abstractNum w:abstractNumId="10" w15:restartNumberingAfterBreak="0">
    <w:nsid w:val="09A10DA9"/>
    <w:multiLevelType w:val="singleLevel"/>
    <w:tmpl w:val="9976E896"/>
    <w:lvl w:ilvl="0">
      <w:start w:val="1"/>
      <w:numFmt w:val="upperLetter"/>
      <w:pStyle w:val="Heading7"/>
      <w:lvlText w:val="%1."/>
      <w:lvlJc w:val="left"/>
      <w:pPr>
        <w:tabs>
          <w:tab w:val="num" w:pos="720"/>
        </w:tabs>
        <w:ind w:left="720" w:hanging="360"/>
      </w:pPr>
      <w:rPr>
        <w:rFonts w:hint="default"/>
      </w:rPr>
    </w:lvl>
  </w:abstractNum>
  <w:abstractNum w:abstractNumId="11" w15:restartNumberingAfterBreak="0">
    <w:nsid w:val="0B2535B2"/>
    <w:multiLevelType w:val="singleLevel"/>
    <w:tmpl w:val="04090011"/>
    <w:lvl w:ilvl="0">
      <w:start w:val="1"/>
      <w:numFmt w:val="decimal"/>
      <w:lvlText w:val="%1)"/>
      <w:lvlJc w:val="left"/>
      <w:pPr>
        <w:tabs>
          <w:tab w:val="num" w:pos="360"/>
        </w:tabs>
        <w:ind w:left="360" w:hanging="360"/>
      </w:pPr>
    </w:lvl>
  </w:abstractNum>
  <w:abstractNum w:abstractNumId="12" w15:restartNumberingAfterBreak="0">
    <w:nsid w:val="0EE75D32"/>
    <w:multiLevelType w:val="singleLevel"/>
    <w:tmpl w:val="12EA15F2"/>
    <w:lvl w:ilvl="0">
      <w:start w:val="5"/>
      <w:numFmt w:val="upperLetter"/>
      <w:pStyle w:val="Heading8"/>
      <w:lvlText w:val="%1."/>
      <w:lvlJc w:val="left"/>
      <w:pPr>
        <w:tabs>
          <w:tab w:val="num" w:pos="360"/>
        </w:tabs>
        <w:ind w:left="360" w:hanging="360"/>
      </w:pPr>
    </w:lvl>
  </w:abstractNum>
  <w:abstractNum w:abstractNumId="13" w15:restartNumberingAfterBreak="0">
    <w:nsid w:val="177D3A52"/>
    <w:multiLevelType w:val="singleLevel"/>
    <w:tmpl w:val="4AB2DEB0"/>
    <w:lvl w:ilvl="0">
      <w:start w:val="1"/>
      <w:numFmt w:val="decimal"/>
      <w:lvlText w:val="(%1)"/>
      <w:lvlJc w:val="left"/>
      <w:pPr>
        <w:tabs>
          <w:tab w:val="num" w:pos="390"/>
        </w:tabs>
        <w:ind w:left="390" w:hanging="390"/>
      </w:pPr>
      <w:rPr>
        <w:rFonts w:hint="default"/>
      </w:rPr>
    </w:lvl>
  </w:abstractNum>
  <w:abstractNum w:abstractNumId="14" w15:restartNumberingAfterBreak="0">
    <w:nsid w:val="17CB0B32"/>
    <w:multiLevelType w:val="singleLevel"/>
    <w:tmpl w:val="C608A434"/>
    <w:lvl w:ilvl="0">
      <w:start w:val="1"/>
      <w:numFmt w:val="decimal"/>
      <w:lvlText w:val="(%1)"/>
      <w:lvlJc w:val="left"/>
      <w:pPr>
        <w:tabs>
          <w:tab w:val="num" w:pos="360"/>
        </w:tabs>
        <w:ind w:left="360" w:hanging="360"/>
      </w:pPr>
    </w:lvl>
  </w:abstractNum>
  <w:abstractNum w:abstractNumId="15" w15:restartNumberingAfterBreak="0">
    <w:nsid w:val="1C91159B"/>
    <w:multiLevelType w:val="singleLevel"/>
    <w:tmpl w:val="8484507C"/>
    <w:lvl w:ilvl="0">
      <w:start w:val="1"/>
      <w:numFmt w:val="upperRoman"/>
      <w:lvlText w:val="%1."/>
      <w:lvlJc w:val="left"/>
      <w:pPr>
        <w:tabs>
          <w:tab w:val="num" w:pos="720"/>
        </w:tabs>
        <w:ind w:left="360" w:hanging="360"/>
      </w:pPr>
    </w:lvl>
  </w:abstractNum>
  <w:abstractNum w:abstractNumId="16" w15:restartNumberingAfterBreak="0">
    <w:nsid w:val="1E223BDF"/>
    <w:multiLevelType w:val="singleLevel"/>
    <w:tmpl w:val="90DCCB18"/>
    <w:lvl w:ilvl="0">
      <w:start w:val="3"/>
      <w:numFmt w:val="upperRoman"/>
      <w:lvlText w:val="%1."/>
      <w:lvlJc w:val="left"/>
      <w:pPr>
        <w:tabs>
          <w:tab w:val="num" w:pos="720"/>
        </w:tabs>
        <w:ind w:left="360" w:hanging="360"/>
      </w:pPr>
    </w:lvl>
  </w:abstractNum>
  <w:abstractNum w:abstractNumId="17" w15:restartNumberingAfterBreak="0">
    <w:nsid w:val="25FE2B5F"/>
    <w:multiLevelType w:val="singleLevel"/>
    <w:tmpl w:val="04090011"/>
    <w:lvl w:ilvl="0">
      <w:start w:val="1"/>
      <w:numFmt w:val="decimal"/>
      <w:lvlText w:val="%1)"/>
      <w:lvlJc w:val="left"/>
      <w:pPr>
        <w:tabs>
          <w:tab w:val="num" w:pos="360"/>
        </w:tabs>
        <w:ind w:left="360" w:hanging="360"/>
      </w:pPr>
    </w:lvl>
  </w:abstractNum>
  <w:abstractNum w:abstractNumId="18" w15:restartNumberingAfterBreak="0">
    <w:nsid w:val="27482363"/>
    <w:multiLevelType w:val="singleLevel"/>
    <w:tmpl w:val="AD94894E"/>
    <w:lvl w:ilvl="0">
      <w:start w:val="1"/>
      <w:numFmt w:val="upperLetter"/>
      <w:lvlText w:val="%1."/>
      <w:lvlJc w:val="left"/>
      <w:pPr>
        <w:tabs>
          <w:tab w:val="num" w:pos="1080"/>
        </w:tabs>
        <w:ind w:left="1080" w:hanging="360"/>
      </w:pPr>
      <w:rPr>
        <w:rFonts w:hint="default"/>
      </w:rPr>
    </w:lvl>
  </w:abstractNum>
  <w:abstractNum w:abstractNumId="19" w15:restartNumberingAfterBreak="0">
    <w:nsid w:val="2A3325C6"/>
    <w:multiLevelType w:val="singleLevel"/>
    <w:tmpl w:val="4E7657B8"/>
    <w:lvl w:ilvl="0">
      <w:start w:val="1"/>
      <w:numFmt w:val="decimal"/>
      <w:lvlText w:val="(%1)"/>
      <w:lvlJc w:val="left"/>
      <w:pPr>
        <w:tabs>
          <w:tab w:val="num" w:pos="360"/>
        </w:tabs>
        <w:ind w:left="360" w:hanging="360"/>
      </w:pPr>
    </w:lvl>
  </w:abstractNum>
  <w:abstractNum w:abstractNumId="20" w15:restartNumberingAfterBreak="0">
    <w:nsid w:val="2A6B105A"/>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2B5D54CE"/>
    <w:multiLevelType w:val="singleLevel"/>
    <w:tmpl w:val="38101EBA"/>
    <w:lvl w:ilvl="0">
      <w:start w:val="1"/>
      <w:numFmt w:val="decimal"/>
      <w:lvlText w:val="%1."/>
      <w:lvlJc w:val="left"/>
      <w:pPr>
        <w:tabs>
          <w:tab w:val="num" w:pos="720"/>
        </w:tabs>
        <w:ind w:left="720" w:hanging="720"/>
      </w:pPr>
      <w:rPr>
        <w:rFonts w:hint="default"/>
      </w:rPr>
    </w:lvl>
  </w:abstractNum>
  <w:abstractNum w:abstractNumId="22" w15:restartNumberingAfterBreak="0">
    <w:nsid w:val="302F478F"/>
    <w:multiLevelType w:val="hybridMultilevel"/>
    <w:tmpl w:val="F7C49AEC"/>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cs="Wingdings"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Wingdings"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Wingdings"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56B79F0"/>
    <w:multiLevelType w:val="singleLevel"/>
    <w:tmpl w:val="04090011"/>
    <w:lvl w:ilvl="0">
      <w:start w:val="1"/>
      <w:numFmt w:val="decimal"/>
      <w:lvlText w:val="%1)"/>
      <w:lvlJc w:val="left"/>
      <w:pPr>
        <w:tabs>
          <w:tab w:val="num" w:pos="360"/>
        </w:tabs>
        <w:ind w:left="360" w:hanging="360"/>
      </w:pPr>
    </w:lvl>
  </w:abstractNum>
  <w:abstractNum w:abstractNumId="24" w15:restartNumberingAfterBreak="0">
    <w:nsid w:val="35931607"/>
    <w:multiLevelType w:val="singleLevel"/>
    <w:tmpl w:val="C608A434"/>
    <w:lvl w:ilvl="0">
      <w:start w:val="1"/>
      <w:numFmt w:val="decimal"/>
      <w:lvlText w:val="(%1)"/>
      <w:lvlJc w:val="left"/>
      <w:pPr>
        <w:tabs>
          <w:tab w:val="num" w:pos="360"/>
        </w:tabs>
        <w:ind w:left="360" w:hanging="360"/>
      </w:pPr>
    </w:lvl>
  </w:abstractNum>
  <w:abstractNum w:abstractNumId="25" w15:restartNumberingAfterBreak="0">
    <w:nsid w:val="35CA3624"/>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6" w15:restartNumberingAfterBreak="0">
    <w:nsid w:val="37336567"/>
    <w:multiLevelType w:val="singleLevel"/>
    <w:tmpl w:val="17A207E4"/>
    <w:lvl w:ilvl="0">
      <w:start w:val="1"/>
      <w:numFmt w:val="decimal"/>
      <w:lvlText w:val="%1)"/>
      <w:lvlJc w:val="left"/>
      <w:pPr>
        <w:tabs>
          <w:tab w:val="num" w:pos="360"/>
        </w:tabs>
        <w:ind w:left="360" w:hanging="360"/>
      </w:pPr>
    </w:lvl>
  </w:abstractNum>
  <w:abstractNum w:abstractNumId="27" w15:restartNumberingAfterBreak="0">
    <w:nsid w:val="39663A7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8" w15:restartNumberingAfterBreak="0">
    <w:nsid w:val="3A0E65ED"/>
    <w:multiLevelType w:val="singleLevel"/>
    <w:tmpl w:val="04090015"/>
    <w:lvl w:ilvl="0">
      <w:start w:val="1"/>
      <w:numFmt w:val="upperLetter"/>
      <w:lvlText w:val="%1."/>
      <w:lvlJc w:val="left"/>
      <w:pPr>
        <w:tabs>
          <w:tab w:val="num" w:pos="360"/>
        </w:tabs>
        <w:ind w:left="360" w:hanging="360"/>
      </w:pPr>
    </w:lvl>
  </w:abstractNum>
  <w:abstractNum w:abstractNumId="29" w15:restartNumberingAfterBreak="0">
    <w:nsid w:val="3C45653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0" w15:restartNumberingAfterBreak="0">
    <w:nsid w:val="3CB819FE"/>
    <w:multiLevelType w:val="singleLevel"/>
    <w:tmpl w:val="C608A434"/>
    <w:lvl w:ilvl="0">
      <w:start w:val="1"/>
      <w:numFmt w:val="decimal"/>
      <w:lvlText w:val="(%1)"/>
      <w:lvlJc w:val="left"/>
      <w:pPr>
        <w:tabs>
          <w:tab w:val="num" w:pos="360"/>
        </w:tabs>
        <w:ind w:left="360" w:hanging="360"/>
      </w:pPr>
    </w:lvl>
  </w:abstractNum>
  <w:abstractNum w:abstractNumId="31" w15:restartNumberingAfterBreak="0">
    <w:nsid w:val="3F637E45"/>
    <w:multiLevelType w:val="singleLevel"/>
    <w:tmpl w:val="0409000F"/>
    <w:lvl w:ilvl="0">
      <w:start w:val="1"/>
      <w:numFmt w:val="decimal"/>
      <w:lvlText w:val="%1."/>
      <w:lvlJc w:val="left"/>
      <w:pPr>
        <w:tabs>
          <w:tab w:val="num" w:pos="360"/>
        </w:tabs>
        <w:ind w:left="360" w:hanging="360"/>
      </w:pPr>
    </w:lvl>
  </w:abstractNum>
  <w:abstractNum w:abstractNumId="32" w15:restartNumberingAfterBreak="0">
    <w:nsid w:val="41F77184"/>
    <w:multiLevelType w:val="singleLevel"/>
    <w:tmpl w:val="04090011"/>
    <w:lvl w:ilvl="0">
      <w:start w:val="1"/>
      <w:numFmt w:val="decimal"/>
      <w:lvlText w:val="%1)"/>
      <w:lvlJc w:val="left"/>
      <w:pPr>
        <w:tabs>
          <w:tab w:val="num" w:pos="360"/>
        </w:tabs>
        <w:ind w:left="360" w:hanging="360"/>
      </w:pPr>
    </w:lvl>
  </w:abstractNum>
  <w:abstractNum w:abstractNumId="33" w15:restartNumberingAfterBreak="0">
    <w:nsid w:val="4BFF33D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4" w15:restartNumberingAfterBreak="0">
    <w:nsid w:val="4C343366"/>
    <w:multiLevelType w:val="singleLevel"/>
    <w:tmpl w:val="C608A434"/>
    <w:lvl w:ilvl="0">
      <w:start w:val="1"/>
      <w:numFmt w:val="decimal"/>
      <w:lvlText w:val="(%1)"/>
      <w:lvlJc w:val="left"/>
      <w:pPr>
        <w:tabs>
          <w:tab w:val="num" w:pos="360"/>
        </w:tabs>
        <w:ind w:left="360" w:hanging="360"/>
      </w:pPr>
    </w:lvl>
  </w:abstractNum>
  <w:abstractNum w:abstractNumId="35" w15:restartNumberingAfterBreak="0">
    <w:nsid w:val="4DB568D7"/>
    <w:multiLevelType w:val="singleLevel"/>
    <w:tmpl w:val="C608A434"/>
    <w:lvl w:ilvl="0">
      <w:start w:val="1"/>
      <w:numFmt w:val="decimal"/>
      <w:lvlText w:val="(%1)"/>
      <w:lvlJc w:val="left"/>
      <w:pPr>
        <w:tabs>
          <w:tab w:val="num" w:pos="360"/>
        </w:tabs>
        <w:ind w:left="360" w:hanging="360"/>
      </w:pPr>
    </w:lvl>
  </w:abstractNum>
  <w:abstractNum w:abstractNumId="36" w15:restartNumberingAfterBreak="0">
    <w:nsid w:val="4E171689"/>
    <w:multiLevelType w:val="singleLevel"/>
    <w:tmpl w:val="7060A2DA"/>
    <w:lvl w:ilvl="0">
      <w:start w:val="1"/>
      <w:numFmt w:val="lowerRoman"/>
      <w:lvlText w:val="%1."/>
      <w:lvlJc w:val="left"/>
      <w:pPr>
        <w:tabs>
          <w:tab w:val="num" w:pos="720"/>
        </w:tabs>
        <w:ind w:left="360" w:hanging="360"/>
      </w:pPr>
    </w:lvl>
  </w:abstractNum>
  <w:abstractNum w:abstractNumId="37" w15:restartNumberingAfterBreak="0">
    <w:nsid w:val="4EF02183"/>
    <w:multiLevelType w:val="singleLevel"/>
    <w:tmpl w:val="04090015"/>
    <w:lvl w:ilvl="0">
      <w:start w:val="1"/>
      <w:numFmt w:val="upperLetter"/>
      <w:lvlText w:val="%1."/>
      <w:lvlJc w:val="left"/>
      <w:pPr>
        <w:tabs>
          <w:tab w:val="num" w:pos="360"/>
        </w:tabs>
        <w:ind w:left="360" w:hanging="360"/>
      </w:pPr>
    </w:lvl>
  </w:abstractNum>
  <w:abstractNum w:abstractNumId="38" w15:restartNumberingAfterBreak="0">
    <w:nsid w:val="4F3B3E30"/>
    <w:multiLevelType w:val="singleLevel"/>
    <w:tmpl w:val="04090011"/>
    <w:lvl w:ilvl="0">
      <w:start w:val="1"/>
      <w:numFmt w:val="decimal"/>
      <w:lvlText w:val="%1)"/>
      <w:lvlJc w:val="left"/>
      <w:pPr>
        <w:tabs>
          <w:tab w:val="num" w:pos="360"/>
        </w:tabs>
        <w:ind w:left="360" w:hanging="360"/>
      </w:pPr>
    </w:lvl>
  </w:abstractNum>
  <w:abstractNum w:abstractNumId="39" w15:restartNumberingAfterBreak="0">
    <w:nsid w:val="51224BEF"/>
    <w:multiLevelType w:val="singleLevel"/>
    <w:tmpl w:val="0409000F"/>
    <w:lvl w:ilvl="0">
      <w:start w:val="1"/>
      <w:numFmt w:val="decimal"/>
      <w:lvlText w:val="%1."/>
      <w:lvlJc w:val="left"/>
      <w:pPr>
        <w:tabs>
          <w:tab w:val="num" w:pos="360"/>
        </w:tabs>
        <w:ind w:left="360" w:hanging="360"/>
      </w:pPr>
    </w:lvl>
  </w:abstractNum>
  <w:abstractNum w:abstractNumId="40" w15:restartNumberingAfterBreak="0">
    <w:nsid w:val="519A4C15"/>
    <w:multiLevelType w:val="singleLevel"/>
    <w:tmpl w:val="00D8C4B2"/>
    <w:lvl w:ilvl="0">
      <w:start w:val="1"/>
      <w:numFmt w:val="upperRoman"/>
      <w:lvlText w:val="%1."/>
      <w:lvlJc w:val="left"/>
      <w:pPr>
        <w:tabs>
          <w:tab w:val="num" w:pos="720"/>
        </w:tabs>
        <w:ind w:left="720" w:hanging="720"/>
      </w:pPr>
      <w:rPr>
        <w:rFonts w:hint="default"/>
      </w:rPr>
    </w:lvl>
  </w:abstractNum>
  <w:abstractNum w:abstractNumId="41" w15:restartNumberingAfterBreak="0">
    <w:nsid w:val="52D03E79"/>
    <w:multiLevelType w:val="singleLevel"/>
    <w:tmpl w:val="04090015"/>
    <w:lvl w:ilvl="0">
      <w:start w:val="1"/>
      <w:numFmt w:val="upperLetter"/>
      <w:lvlText w:val="%1."/>
      <w:lvlJc w:val="left"/>
      <w:pPr>
        <w:tabs>
          <w:tab w:val="num" w:pos="360"/>
        </w:tabs>
        <w:ind w:left="360" w:hanging="360"/>
      </w:pPr>
    </w:lvl>
  </w:abstractNum>
  <w:abstractNum w:abstractNumId="42" w15:restartNumberingAfterBreak="0">
    <w:nsid w:val="57A64BD7"/>
    <w:multiLevelType w:val="singleLevel"/>
    <w:tmpl w:val="04090011"/>
    <w:lvl w:ilvl="0">
      <w:start w:val="1"/>
      <w:numFmt w:val="decimal"/>
      <w:lvlText w:val="%1)"/>
      <w:lvlJc w:val="left"/>
      <w:pPr>
        <w:tabs>
          <w:tab w:val="num" w:pos="360"/>
        </w:tabs>
        <w:ind w:left="360" w:hanging="360"/>
      </w:pPr>
    </w:lvl>
  </w:abstractNum>
  <w:abstractNum w:abstractNumId="43" w15:restartNumberingAfterBreak="0">
    <w:nsid w:val="589B7D82"/>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4" w15:restartNumberingAfterBreak="0">
    <w:nsid w:val="5C531612"/>
    <w:multiLevelType w:val="hybridMultilevel"/>
    <w:tmpl w:val="DCE4BE70"/>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cs="Wingdings"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Wingdings"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Wingdings"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5D543CDF"/>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6" w15:restartNumberingAfterBreak="0">
    <w:nsid w:val="60B24AF7"/>
    <w:multiLevelType w:val="singleLevel"/>
    <w:tmpl w:val="4EC42E00"/>
    <w:lvl w:ilvl="0">
      <w:start w:val="2"/>
      <w:numFmt w:val="decimal"/>
      <w:lvlText w:val=""/>
      <w:lvlJc w:val="left"/>
      <w:pPr>
        <w:tabs>
          <w:tab w:val="num" w:pos="360"/>
        </w:tabs>
        <w:ind w:left="360" w:hanging="360"/>
      </w:pPr>
      <w:rPr>
        <w:rFonts w:hint="default"/>
      </w:rPr>
    </w:lvl>
  </w:abstractNum>
  <w:abstractNum w:abstractNumId="47" w15:restartNumberingAfterBreak="0">
    <w:nsid w:val="60C64C2A"/>
    <w:multiLevelType w:val="singleLevel"/>
    <w:tmpl w:val="4E7657B8"/>
    <w:lvl w:ilvl="0">
      <w:start w:val="1"/>
      <w:numFmt w:val="decimal"/>
      <w:lvlText w:val="(%1)"/>
      <w:lvlJc w:val="left"/>
      <w:pPr>
        <w:tabs>
          <w:tab w:val="num" w:pos="360"/>
        </w:tabs>
        <w:ind w:left="360" w:hanging="360"/>
      </w:pPr>
    </w:lvl>
  </w:abstractNum>
  <w:abstractNum w:abstractNumId="48" w15:restartNumberingAfterBreak="0">
    <w:nsid w:val="62F2283A"/>
    <w:multiLevelType w:val="singleLevel"/>
    <w:tmpl w:val="4E7657B8"/>
    <w:lvl w:ilvl="0">
      <w:start w:val="1"/>
      <w:numFmt w:val="decimal"/>
      <w:lvlText w:val="(%1)"/>
      <w:lvlJc w:val="left"/>
      <w:pPr>
        <w:tabs>
          <w:tab w:val="num" w:pos="360"/>
        </w:tabs>
        <w:ind w:left="360" w:hanging="360"/>
      </w:pPr>
    </w:lvl>
  </w:abstractNum>
  <w:abstractNum w:abstractNumId="49" w15:restartNumberingAfterBreak="0">
    <w:nsid w:val="63A03988"/>
    <w:multiLevelType w:val="hybridMultilevel"/>
    <w:tmpl w:val="7132EB74"/>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50" w15:restartNumberingAfterBreak="0">
    <w:nsid w:val="66E123E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51" w15:restartNumberingAfterBreak="0">
    <w:nsid w:val="68124371"/>
    <w:multiLevelType w:val="singleLevel"/>
    <w:tmpl w:val="B038E844"/>
    <w:lvl w:ilvl="0">
      <w:start w:val="1"/>
      <w:numFmt w:val="decimal"/>
      <w:lvlText w:val="%1."/>
      <w:lvlJc w:val="left"/>
      <w:pPr>
        <w:tabs>
          <w:tab w:val="num" w:pos="360"/>
        </w:tabs>
        <w:ind w:left="360" w:hanging="360"/>
      </w:pPr>
    </w:lvl>
  </w:abstractNum>
  <w:abstractNum w:abstractNumId="52" w15:restartNumberingAfterBreak="0">
    <w:nsid w:val="687E6C16"/>
    <w:multiLevelType w:val="singleLevel"/>
    <w:tmpl w:val="52B8B450"/>
    <w:lvl w:ilvl="0">
      <w:start w:val="5"/>
      <w:numFmt w:val="decimal"/>
      <w:lvlText w:val="%1."/>
      <w:lvlJc w:val="left"/>
      <w:pPr>
        <w:tabs>
          <w:tab w:val="num" w:pos="360"/>
        </w:tabs>
        <w:ind w:left="360" w:hanging="360"/>
      </w:pPr>
    </w:lvl>
  </w:abstractNum>
  <w:abstractNum w:abstractNumId="53" w15:restartNumberingAfterBreak="0">
    <w:nsid w:val="689B5FD4"/>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54" w15:restartNumberingAfterBreak="0">
    <w:nsid w:val="6A812A9C"/>
    <w:multiLevelType w:val="singleLevel"/>
    <w:tmpl w:val="77FED212"/>
    <w:lvl w:ilvl="0">
      <w:start w:val="3"/>
      <w:numFmt w:val="upperLetter"/>
      <w:lvlText w:val="%1."/>
      <w:lvlJc w:val="left"/>
      <w:pPr>
        <w:tabs>
          <w:tab w:val="num" w:pos="720"/>
        </w:tabs>
        <w:ind w:left="720" w:hanging="720"/>
      </w:pPr>
      <w:rPr>
        <w:rFonts w:hint="default"/>
      </w:rPr>
    </w:lvl>
  </w:abstractNum>
  <w:abstractNum w:abstractNumId="55" w15:restartNumberingAfterBreak="0">
    <w:nsid w:val="6E7C6132"/>
    <w:multiLevelType w:val="singleLevel"/>
    <w:tmpl w:val="7060A2DA"/>
    <w:lvl w:ilvl="0">
      <w:start w:val="1"/>
      <w:numFmt w:val="lowerRoman"/>
      <w:lvlText w:val="%1."/>
      <w:lvlJc w:val="left"/>
      <w:pPr>
        <w:tabs>
          <w:tab w:val="num" w:pos="720"/>
        </w:tabs>
        <w:ind w:left="360" w:hanging="360"/>
      </w:pPr>
    </w:lvl>
  </w:abstractNum>
  <w:abstractNum w:abstractNumId="56" w15:restartNumberingAfterBreak="0">
    <w:nsid w:val="6EA32B69"/>
    <w:multiLevelType w:val="singleLevel"/>
    <w:tmpl w:val="2A5A42CA"/>
    <w:lvl w:ilvl="0">
      <w:start w:val="1"/>
      <w:numFmt w:val="decimal"/>
      <w:lvlText w:val="%1."/>
      <w:lvlJc w:val="left"/>
      <w:pPr>
        <w:tabs>
          <w:tab w:val="num" w:pos="1800"/>
        </w:tabs>
        <w:ind w:left="1800" w:hanging="360"/>
      </w:pPr>
      <w:rPr>
        <w:rFonts w:hint="default"/>
      </w:rPr>
    </w:lvl>
  </w:abstractNum>
  <w:abstractNum w:abstractNumId="57" w15:restartNumberingAfterBreak="0">
    <w:nsid w:val="6F5D006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58" w15:restartNumberingAfterBreak="0">
    <w:nsid w:val="6FDA58FA"/>
    <w:multiLevelType w:val="singleLevel"/>
    <w:tmpl w:val="B038E844"/>
    <w:lvl w:ilvl="0">
      <w:start w:val="1"/>
      <w:numFmt w:val="decimal"/>
      <w:lvlText w:val="%1."/>
      <w:lvlJc w:val="left"/>
      <w:pPr>
        <w:tabs>
          <w:tab w:val="num" w:pos="360"/>
        </w:tabs>
        <w:ind w:left="360" w:hanging="360"/>
      </w:pPr>
    </w:lvl>
  </w:abstractNum>
  <w:abstractNum w:abstractNumId="59" w15:restartNumberingAfterBreak="0">
    <w:nsid w:val="703276D5"/>
    <w:multiLevelType w:val="singleLevel"/>
    <w:tmpl w:val="29C024C8"/>
    <w:lvl w:ilvl="0">
      <w:start w:val="1"/>
      <w:numFmt w:val="decimal"/>
      <w:lvlText w:val="(%1)"/>
      <w:lvlJc w:val="left"/>
      <w:pPr>
        <w:tabs>
          <w:tab w:val="num" w:pos="435"/>
        </w:tabs>
        <w:ind w:left="435" w:hanging="435"/>
      </w:pPr>
      <w:rPr>
        <w:rFonts w:hint="default"/>
      </w:rPr>
    </w:lvl>
  </w:abstractNum>
  <w:abstractNum w:abstractNumId="60" w15:restartNumberingAfterBreak="0">
    <w:nsid w:val="716C11E1"/>
    <w:multiLevelType w:val="singleLevel"/>
    <w:tmpl w:val="04090011"/>
    <w:lvl w:ilvl="0">
      <w:start w:val="1"/>
      <w:numFmt w:val="decimal"/>
      <w:lvlText w:val="%1)"/>
      <w:lvlJc w:val="left"/>
      <w:pPr>
        <w:tabs>
          <w:tab w:val="num" w:pos="360"/>
        </w:tabs>
        <w:ind w:left="360" w:hanging="360"/>
      </w:pPr>
    </w:lvl>
  </w:abstractNum>
  <w:abstractNum w:abstractNumId="61" w15:restartNumberingAfterBreak="0">
    <w:nsid w:val="7598143F"/>
    <w:multiLevelType w:val="singleLevel"/>
    <w:tmpl w:val="0409000F"/>
    <w:lvl w:ilvl="0">
      <w:start w:val="1"/>
      <w:numFmt w:val="decimal"/>
      <w:lvlText w:val="%1."/>
      <w:lvlJc w:val="left"/>
      <w:pPr>
        <w:tabs>
          <w:tab w:val="num" w:pos="360"/>
        </w:tabs>
        <w:ind w:left="360" w:hanging="360"/>
      </w:pPr>
    </w:lvl>
  </w:abstractNum>
  <w:abstractNum w:abstractNumId="62" w15:restartNumberingAfterBreak="0">
    <w:nsid w:val="76804E16"/>
    <w:multiLevelType w:val="singleLevel"/>
    <w:tmpl w:val="C608A434"/>
    <w:lvl w:ilvl="0">
      <w:start w:val="1"/>
      <w:numFmt w:val="decimal"/>
      <w:lvlText w:val="(%1)"/>
      <w:lvlJc w:val="left"/>
      <w:pPr>
        <w:tabs>
          <w:tab w:val="num" w:pos="360"/>
        </w:tabs>
        <w:ind w:left="360" w:hanging="360"/>
      </w:pPr>
    </w:lvl>
  </w:abstractNum>
  <w:abstractNum w:abstractNumId="63" w15:restartNumberingAfterBreak="0">
    <w:nsid w:val="77DD35DC"/>
    <w:multiLevelType w:val="singleLevel"/>
    <w:tmpl w:val="7060A2DA"/>
    <w:lvl w:ilvl="0">
      <w:start w:val="1"/>
      <w:numFmt w:val="lowerRoman"/>
      <w:lvlText w:val="%1."/>
      <w:lvlJc w:val="left"/>
      <w:pPr>
        <w:tabs>
          <w:tab w:val="num" w:pos="720"/>
        </w:tabs>
        <w:ind w:left="360" w:hanging="360"/>
      </w:pPr>
    </w:lvl>
  </w:abstractNum>
  <w:abstractNum w:abstractNumId="64" w15:restartNumberingAfterBreak="0">
    <w:nsid w:val="78B80F07"/>
    <w:multiLevelType w:val="singleLevel"/>
    <w:tmpl w:val="17A207E4"/>
    <w:lvl w:ilvl="0">
      <w:start w:val="1"/>
      <w:numFmt w:val="decimal"/>
      <w:lvlText w:val="%1)"/>
      <w:lvlJc w:val="left"/>
      <w:pPr>
        <w:tabs>
          <w:tab w:val="num" w:pos="360"/>
        </w:tabs>
        <w:ind w:left="360" w:hanging="360"/>
      </w:pPr>
    </w:lvl>
  </w:abstractNum>
  <w:abstractNum w:abstractNumId="65" w15:restartNumberingAfterBreak="0">
    <w:nsid w:val="7B617A32"/>
    <w:multiLevelType w:val="singleLevel"/>
    <w:tmpl w:val="E8F6C7DA"/>
    <w:lvl w:ilvl="0">
      <w:start w:val="1"/>
      <w:numFmt w:val="lowerRoman"/>
      <w:lvlText w:val="%1."/>
      <w:lvlJc w:val="left"/>
      <w:pPr>
        <w:tabs>
          <w:tab w:val="num" w:pos="720"/>
        </w:tabs>
        <w:ind w:left="720" w:hanging="720"/>
      </w:pPr>
    </w:lvl>
  </w:abstractNum>
  <w:abstractNum w:abstractNumId="66" w15:restartNumberingAfterBreak="0">
    <w:nsid w:val="7FBF1607"/>
    <w:multiLevelType w:val="singleLevel"/>
    <w:tmpl w:val="3D66C130"/>
    <w:lvl w:ilvl="0">
      <w:start w:val="1"/>
      <w:numFmt w:val="upperRoman"/>
      <w:pStyle w:val="Heading4"/>
      <w:lvlText w:val="%1."/>
      <w:lvlJc w:val="left"/>
      <w:pPr>
        <w:tabs>
          <w:tab w:val="num" w:pos="720"/>
        </w:tabs>
        <w:ind w:left="720" w:hanging="720"/>
      </w:pPr>
      <w:rPr>
        <w:rFonts w:hint="default"/>
      </w:rPr>
    </w:lvl>
  </w:abstractNum>
  <w:num w:numId="1">
    <w:abstractNumId w:val="15"/>
  </w:num>
  <w:num w:numId="2">
    <w:abstractNumId w:val="66"/>
  </w:num>
  <w:num w:numId="3">
    <w:abstractNumId w:val="50"/>
  </w:num>
  <w:num w:numId="4">
    <w:abstractNumId w:val="13"/>
  </w:num>
  <w:num w:numId="5">
    <w:abstractNumId w:val="6"/>
  </w:num>
  <w:num w:numId="6">
    <w:abstractNumId w:val="59"/>
  </w:num>
  <w:num w:numId="7">
    <w:abstractNumId w:val="2"/>
  </w:num>
  <w:num w:numId="8">
    <w:abstractNumId w:val="39"/>
  </w:num>
  <w:num w:numId="9">
    <w:abstractNumId w:val="40"/>
  </w:num>
  <w:num w:numId="10">
    <w:abstractNumId w:val="32"/>
  </w:num>
  <w:num w:numId="11">
    <w:abstractNumId w:val="17"/>
  </w:num>
  <w:num w:numId="12">
    <w:abstractNumId w:val="54"/>
  </w:num>
  <w:num w:numId="13">
    <w:abstractNumId w:val="21"/>
  </w:num>
  <w:num w:numId="14">
    <w:abstractNumId w:val="63"/>
  </w:num>
  <w:num w:numId="15">
    <w:abstractNumId w:val="65"/>
  </w:num>
  <w:num w:numId="16">
    <w:abstractNumId w:val="20"/>
  </w:num>
  <w:num w:numId="17">
    <w:abstractNumId w:val="9"/>
  </w:num>
  <w:num w:numId="18">
    <w:abstractNumId w:val="4"/>
  </w:num>
  <w:num w:numId="19">
    <w:abstractNumId w:val="60"/>
  </w:num>
  <w:num w:numId="20">
    <w:abstractNumId w:val="11"/>
  </w:num>
  <w:num w:numId="21">
    <w:abstractNumId w:val="23"/>
  </w:num>
  <w:num w:numId="22">
    <w:abstractNumId w:val="38"/>
  </w:num>
  <w:num w:numId="23">
    <w:abstractNumId w:val="42"/>
  </w:num>
  <w:num w:numId="24">
    <w:abstractNumId w:val="0"/>
  </w:num>
  <w:num w:numId="25">
    <w:abstractNumId w:val="3"/>
  </w:num>
  <w:num w:numId="26">
    <w:abstractNumId w:val="30"/>
  </w:num>
  <w:num w:numId="27">
    <w:abstractNumId w:val="55"/>
  </w:num>
  <w:num w:numId="28">
    <w:abstractNumId w:val="10"/>
  </w:num>
  <w:num w:numId="29">
    <w:abstractNumId w:val="31"/>
  </w:num>
  <w:num w:numId="30">
    <w:abstractNumId w:val="12"/>
  </w:num>
  <w:num w:numId="31">
    <w:abstractNumId w:val="7"/>
  </w:num>
  <w:num w:numId="32">
    <w:abstractNumId w:val="36"/>
  </w:num>
  <w:num w:numId="33">
    <w:abstractNumId w:val="53"/>
  </w:num>
  <w:num w:numId="34">
    <w:abstractNumId w:val="14"/>
  </w:num>
  <w:num w:numId="35">
    <w:abstractNumId w:val="24"/>
  </w:num>
  <w:num w:numId="36">
    <w:abstractNumId w:val="34"/>
  </w:num>
  <w:num w:numId="37">
    <w:abstractNumId w:val="62"/>
  </w:num>
  <w:num w:numId="38">
    <w:abstractNumId w:val="16"/>
  </w:num>
  <w:num w:numId="39">
    <w:abstractNumId w:val="41"/>
  </w:num>
  <w:num w:numId="40">
    <w:abstractNumId w:val="61"/>
  </w:num>
  <w:num w:numId="41">
    <w:abstractNumId w:val="35"/>
  </w:num>
  <w:num w:numId="42">
    <w:abstractNumId w:val="29"/>
  </w:num>
  <w:num w:numId="43">
    <w:abstractNumId w:val="27"/>
  </w:num>
  <w:num w:numId="44">
    <w:abstractNumId w:val="57"/>
  </w:num>
  <w:num w:numId="45">
    <w:abstractNumId w:val="52"/>
  </w:num>
  <w:num w:numId="46">
    <w:abstractNumId w:val="33"/>
  </w:num>
  <w:num w:numId="47">
    <w:abstractNumId w:val="37"/>
  </w:num>
  <w:num w:numId="48">
    <w:abstractNumId w:val="51"/>
  </w:num>
  <w:num w:numId="49">
    <w:abstractNumId w:val="28"/>
  </w:num>
  <w:num w:numId="50">
    <w:abstractNumId w:val="58"/>
  </w:num>
  <w:num w:numId="51">
    <w:abstractNumId w:val="25"/>
  </w:num>
  <w:num w:numId="52">
    <w:abstractNumId w:val="47"/>
  </w:num>
  <w:num w:numId="53">
    <w:abstractNumId w:val="19"/>
  </w:num>
  <w:num w:numId="54">
    <w:abstractNumId w:val="48"/>
  </w:num>
  <w:num w:numId="55">
    <w:abstractNumId w:val="43"/>
  </w:num>
  <w:num w:numId="56">
    <w:abstractNumId w:val="5"/>
  </w:num>
  <w:num w:numId="57">
    <w:abstractNumId w:val="64"/>
  </w:num>
  <w:num w:numId="58">
    <w:abstractNumId w:val="26"/>
  </w:num>
  <w:num w:numId="59">
    <w:abstractNumId w:val="1"/>
  </w:num>
  <w:num w:numId="60">
    <w:abstractNumId w:val="45"/>
  </w:num>
  <w:num w:numId="61">
    <w:abstractNumId w:val="22"/>
  </w:num>
  <w:num w:numId="62">
    <w:abstractNumId w:val="44"/>
  </w:num>
  <w:num w:numId="63">
    <w:abstractNumId w:val="49"/>
  </w:num>
  <w:num w:numId="64">
    <w:abstractNumId w:val="56"/>
  </w:num>
  <w:num w:numId="65">
    <w:abstractNumId w:val="46"/>
  </w:num>
  <w:num w:numId="66">
    <w:abstractNumId w:val="8"/>
  </w:num>
  <w:num w:numId="67">
    <w:abstractNumId w:val="18"/>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TrackMoves/>
  <w:defaultTabStop w:val="720"/>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87264"/>
    <w:rsid w:val="00B87264"/>
    <w:rsid w:val="00C400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4" fill="f" fillcolor="white" stroke="f">
      <v:fill color="white" on="f"/>
      <v:stroke on="f"/>
    </o:shapedefaults>
    <o:shapelayout v:ext="edit">
      <o:idmap v:ext="edit" data="1"/>
    </o:shapelayout>
  </w:shapeDefaults>
  <w:decimalSymbol w:val="."/>
  <w:listSeparator w:val=","/>
  <w15:chartTrackingRefBased/>
  <w15:docId w15:val="{E531D3A9-985D-4B54-9867-11C8FB00CF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qFormat/>
    <w:pPr>
      <w:keepNext/>
      <w:jc w:val="center"/>
      <w:outlineLvl w:val="0"/>
    </w:pPr>
    <w:rPr>
      <w:b/>
      <w:sz w:val="36"/>
    </w:rPr>
  </w:style>
  <w:style w:type="paragraph" w:styleId="Heading2">
    <w:name w:val="heading 2"/>
    <w:basedOn w:val="Normal"/>
    <w:next w:val="Normal"/>
    <w:qFormat/>
    <w:pPr>
      <w:keepNext/>
      <w:tabs>
        <w:tab w:val="left" w:leader="dot" w:pos="8640"/>
      </w:tabs>
      <w:jc w:val="both"/>
      <w:outlineLvl w:val="1"/>
    </w:pPr>
    <w:rPr>
      <w:sz w:val="24"/>
    </w:rPr>
  </w:style>
  <w:style w:type="paragraph" w:styleId="Heading3">
    <w:name w:val="heading 3"/>
    <w:basedOn w:val="Normal"/>
    <w:next w:val="Normal"/>
    <w:qFormat/>
    <w:pPr>
      <w:keepNext/>
      <w:jc w:val="center"/>
      <w:outlineLvl w:val="2"/>
    </w:pPr>
    <w:rPr>
      <w:b/>
      <w:sz w:val="24"/>
    </w:rPr>
  </w:style>
  <w:style w:type="paragraph" w:styleId="Heading4">
    <w:name w:val="heading 4"/>
    <w:basedOn w:val="Normal"/>
    <w:next w:val="Normal"/>
    <w:qFormat/>
    <w:pPr>
      <w:keepNext/>
      <w:numPr>
        <w:numId w:val="2"/>
      </w:numPr>
      <w:outlineLvl w:val="3"/>
    </w:pPr>
    <w:rPr>
      <w:b/>
      <w:sz w:val="24"/>
    </w:rPr>
  </w:style>
  <w:style w:type="paragraph" w:styleId="Heading5">
    <w:name w:val="heading 5"/>
    <w:basedOn w:val="Normal"/>
    <w:next w:val="Normal"/>
    <w:qFormat/>
    <w:pPr>
      <w:keepNext/>
      <w:outlineLvl w:val="4"/>
    </w:pPr>
    <w:rPr>
      <w:sz w:val="24"/>
    </w:rPr>
  </w:style>
  <w:style w:type="paragraph" w:styleId="Heading6">
    <w:name w:val="heading 6"/>
    <w:basedOn w:val="Normal"/>
    <w:next w:val="Normal"/>
    <w:qFormat/>
    <w:pPr>
      <w:keepNext/>
      <w:tabs>
        <w:tab w:val="left" w:leader="dot" w:pos="9000"/>
      </w:tabs>
      <w:ind w:right="360"/>
      <w:outlineLvl w:val="5"/>
    </w:pPr>
    <w:rPr>
      <w:sz w:val="24"/>
    </w:rPr>
  </w:style>
  <w:style w:type="paragraph" w:styleId="Heading7">
    <w:name w:val="heading 7"/>
    <w:basedOn w:val="Normal"/>
    <w:next w:val="Normal"/>
    <w:qFormat/>
    <w:pPr>
      <w:keepNext/>
      <w:numPr>
        <w:numId w:val="28"/>
      </w:numPr>
      <w:tabs>
        <w:tab w:val="clear" w:pos="720"/>
        <w:tab w:val="num" w:pos="1440"/>
      </w:tabs>
      <w:ind w:left="1440" w:right="360" w:hanging="720"/>
      <w:outlineLvl w:val="6"/>
    </w:pPr>
    <w:rPr>
      <w:sz w:val="24"/>
    </w:rPr>
  </w:style>
  <w:style w:type="paragraph" w:styleId="Heading8">
    <w:name w:val="heading 8"/>
    <w:basedOn w:val="Normal"/>
    <w:next w:val="Normal"/>
    <w:qFormat/>
    <w:pPr>
      <w:keepNext/>
      <w:numPr>
        <w:numId w:val="30"/>
      </w:numPr>
      <w:tabs>
        <w:tab w:val="clear" w:pos="360"/>
        <w:tab w:val="num" w:pos="1080"/>
      </w:tabs>
      <w:ind w:left="1080"/>
      <w:outlineLvl w:val="7"/>
    </w:pPr>
    <w:rPr>
      <w:sz w:val="24"/>
    </w:rPr>
  </w:style>
  <w:style w:type="paragraph" w:styleId="Heading9">
    <w:name w:val="heading 9"/>
    <w:basedOn w:val="Normal"/>
    <w:next w:val="Normal"/>
    <w:qFormat/>
    <w:pPr>
      <w:keepNext/>
      <w:tabs>
        <w:tab w:val="left" w:leader="dot" w:pos="9000"/>
      </w:tabs>
      <w:ind w:left="720" w:right="360" w:hanging="720"/>
      <w:outlineLvl w:val="8"/>
    </w:pPr>
    <w:rPr>
      <w:sz w:val="24"/>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character" w:styleId="PageNumber">
    <w:name w:val="page number"/>
    <w:basedOn w:val="DefaultParagraphFont"/>
    <w:semiHidden/>
  </w:style>
  <w:style w:type="paragraph" w:styleId="BodyText">
    <w:name w:val="Body Text"/>
    <w:basedOn w:val="Normal"/>
    <w:semiHidden/>
    <w:pPr>
      <w:jc w:val="center"/>
    </w:pPr>
    <w:rPr>
      <w:b/>
      <w:sz w:val="32"/>
    </w:rPr>
  </w:style>
  <w:style w:type="paragraph" w:styleId="DocumentMap">
    <w:name w:val="Document Map"/>
    <w:basedOn w:val="Normal"/>
    <w:semiHidden/>
    <w:pPr>
      <w:shd w:val="clear" w:color="auto" w:fill="000080"/>
    </w:pPr>
    <w:rPr>
      <w:rFonts w:ascii="Tahoma" w:hAnsi="Tahoma"/>
    </w:rPr>
  </w:style>
  <w:style w:type="paragraph" w:styleId="BodyTextIndent">
    <w:name w:val="Body Text Indent"/>
    <w:basedOn w:val="Normal"/>
    <w:semiHidden/>
    <w:pPr>
      <w:ind w:left="1440" w:hanging="1440"/>
    </w:pPr>
    <w:rPr>
      <w:sz w:val="24"/>
    </w:rPr>
  </w:style>
  <w:style w:type="paragraph" w:customStyle="1" w:styleId="Level2">
    <w:name w:val="Level 2"/>
    <w:basedOn w:val="Normal"/>
    <w:pPr>
      <w:widowControl w:val="0"/>
    </w:pPr>
    <w:rPr>
      <w:sz w:val="24"/>
    </w:rPr>
  </w:style>
  <w:style w:type="character" w:styleId="FootnoteReference">
    <w:name w:val="footnote reference"/>
    <w:semiHidden/>
  </w:style>
  <w:style w:type="paragraph" w:styleId="BodyText3">
    <w:name w:val="Body Text 3"/>
    <w:basedOn w:val="Normal"/>
    <w:semiHidden/>
    <w:rPr>
      <w:rFonts w:ascii="Arial" w:hAnsi="Arial"/>
      <w:sz w:val="24"/>
    </w:rPr>
  </w:style>
  <w:style w:type="paragraph" w:styleId="FootnoteText">
    <w:name w:val="footnote text"/>
    <w:basedOn w:val="Normal"/>
    <w:semiHidden/>
    <w:rPr>
      <w:rFonts w:ascii="Arial" w:hAnsi="Arial"/>
    </w:rPr>
  </w:style>
  <w:style w:type="paragraph" w:styleId="BodyText2">
    <w:name w:val="Body Text 2"/>
    <w:basedOn w:val="Normal"/>
    <w:semiHidden/>
    <w:pPr>
      <w:jc w:val="center"/>
    </w:pPr>
    <w:rPr>
      <w:b/>
      <w:sz w:val="24"/>
    </w:rPr>
  </w:style>
  <w:style w:type="paragraph" w:styleId="BodyTextIndent2">
    <w:name w:val="Body Text Indent 2"/>
    <w:basedOn w:val="Normal"/>
    <w:semiHidden/>
    <w:pPr>
      <w:ind w:left="720" w:hanging="720"/>
      <w:jc w:val="both"/>
    </w:pPr>
    <w:rPr>
      <w:sz w:val="24"/>
    </w:rPr>
  </w:style>
  <w:style w:type="paragraph" w:styleId="BlockText">
    <w:name w:val="Block Text"/>
    <w:basedOn w:val="Normal"/>
    <w:semiHidden/>
    <w:pPr>
      <w:tabs>
        <w:tab w:val="left" w:leader="dot" w:pos="9000"/>
      </w:tabs>
      <w:ind w:left="720" w:right="360" w:hanging="720"/>
      <w:jc w:val="both"/>
    </w:pPr>
    <w:rPr>
      <w:sz w:val="24"/>
    </w:rPr>
  </w:style>
  <w:style w:type="character" w:styleId="Hyperlink">
    <w:name w:val="Hyperlink"/>
    <w:semiHidden/>
    <w:rPr>
      <w:color w:val="0000FF"/>
      <w:u w:val="single"/>
    </w:rPr>
  </w:style>
  <w:style w:type="character" w:styleId="FollowedHyperlink">
    <w:name w:val="FollowedHyperlink"/>
    <w:semiHidden/>
    <w:rPr>
      <w:color w:val="800080"/>
      <w:u w:val="single"/>
    </w:rPr>
  </w:style>
  <w:style w:type="paragraph" w:styleId="Title">
    <w:name w:val="Title"/>
    <w:basedOn w:val="Normal"/>
    <w:qFormat/>
    <w:pPr>
      <w:jc w:val="center"/>
    </w:pPr>
    <w:rPr>
      <w:sz w:val="32"/>
    </w:rPr>
  </w:style>
  <w:style w:type="paragraph" w:customStyle="1" w:styleId="FigureHeads">
    <w:name w:val="Figure Heads"/>
    <w:pPr>
      <w:jc w:val="center"/>
    </w:pPr>
    <w:rPr>
      <w:b/>
      <w:snapToGrid w:val="0"/>
      <w:sz w:val="24"/>
    </w:rPr>
  </w:style>
  <w:style w:type="paragraph" w:customStyle="1" w:styleId="H3">
    <w:name w:val="H3"/>
    <w:basedOn w:val="Normal"/>
    <w:next w:val="Normal"/>
    <w:pPr>
      <w:keepNext/>
      <w:spacing w:before="100" w:after="100"/>
      <w:outlineLvl w:val="3"/>
    </w:pPr>
    <w:rPr>
      <w:rFonts w:ascii="Arial" w:hAnsi="Arial"/>
    </w:rPr>
  </w:style>
  <w:style w:type="paragraph" w:styleId="BodyTextIndent3">
    <w:name w:val="Body Text Indent 3"/>
    <w:basedOn w:val="Normal"/>
    <w:semiHidden/>
    <w:pPr>
      <w:ind w:firstLine="720"/>
    </w:pPr>
    <w:rPr>
      <w:sz w:val="24"/>
    </w:rPr>
  </w:style>
  <w:style w:type="paragraph" w:styleId="Caption">
    <w:name w:val="caption"/>
    <w:basedOn w:val="Normal"/>
    <w:next w:val="Normal"/>
    <w:qFormat/>
    <w:pPr>
      <w:spacing w:before="120" w:after="120"/>
    </w:pPr>
    <w:rPr>
      <w:rFonts w:ascii="Arial" w:hAnsi="Arial"/>
      <w:b/>
      <w:sz w:val="24"/>
    </w:rPr>
  </w:style>
  <w:style w:type="paragraph" w:styleId="BalloonText">
    <w:name w:val="Balloon Text"/>
    <w:basedOn w:val="Normal"/>
    <w:semiHidden/>
    <w:rPr>
      <w:rFonts w:ascii="Tahoma" w:hAnsi="Tahoma" w:cs="Courier New"/>
      <w:sz w:val="16"/>
      <w:szCs w:val="16"/>
    </w:rPr>
  </w:style>
  <w:style w:type="paragraph" w:styleId="TOC1">
    <w:name w:val="toc 1"/>
    <w:basedOn w:val="Normal"/>
    <w:next w:val="Normal"/>
    <w:autoRedefine/>
    <w:semiHidden/>
  </w:style>
  <w:style w:type="paragraph" w:styleId="TOC2">
    <w:name w:val="toc 2"/>
    <w:basedOn w:val="Normal"/>
    <w:next w:val="Normal"/>
    <w:autoRedefine/>
    <w:semiHidden/>
    <w:pPr>
      <w:ind w:left="200"/>
    </w:pPr>
  </w:style>
  <w:style w:type="paragraph" w:styleId="TOC3">
    <w:name w:val="toc 3"/>
    <w:basedOn w:val="Normal"/>
    <w:next w:val="Normal"/>
    <w:autoRedefine/>
    <w:semiHidden/>
    <w:pPr>
      <w:ind w:left="400"/>
    </w:pPr>
  </w:style>
  <w:style w:type="paragraph" w:styleId="TOC4">
    <w:name w:val="toc 4"/>
    <w:basedOn w:val="Normal"/>
    <w:next w:val="Normal"/>
    <w:autoRedefine/>
    <w:semiHidden/>
    <w:pPr>
      <w:ind w:left="600"/>
    </w:pPr>
  </w:style>
  <w:style w:type="paragraph" w:styleId="TOC5">
    <w:name w:val="toc 5"/>
    <w:basedOn w:val="Normal"/>
    <w:next w:val="Normal"/>
    <w:autoRedefine/>
    <w:semiHidden/>
    <w:pPr>
      <w:ind w:left="800"/>
    </w:pPr>
  </w:style>
  <w:style w:type="paragraph" w:styleId="TOC6">
    <w:name w:val="toc 6"/>
    <w:basedOn w:val="Normal"/>
    <w:next w:val="Normal"/>
    <w:autoRedefine/>
    <w:semiHidden/>
    <w:pPr>
      <w:ind w:left="1000"/>
    </w:pPr>
  </w:style>
  <w:style w:type="paragraph" w:styleId="TOC7">
    <w:name w:val="toc 7"/>
    <w:basedOn w:val="Normal"/>
    <w:next w:val="Normal"/>
    <w:autoRedefine/>
    <w:semiHidden/>
    <w:pPr>
      <w:ind w:left="1200"/>
    </w:pPr>
  </w:style>
  <w:style w:type="paragraph" w:styleId="TOC8">
    <w:name w:val="toc 8"/>
    <w:basedOn w:val="Normal"/>
    <w:next w:val="Normal"/>
    <w:autoRedefine/>
    <w:semiHidden/>
    <w:pPr>
      <w:ind w:left="1400"/>
    </w:pPr>
  </w:style>
  <w:style w:type="paragraph" w:styleId="TOC9">
    <w:name w:val="toc 9"/>
    <w:basedOn w:val="Normal"/>
    <w:next w:val="Normal"/>
    <w:autoRedefine/>
    <w:semiHidden/>
    <w:pPr>
      <w:ind w:left="16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wmf"/><Relationship Id="rId18" Type="http://schemas.openxmlformats.org/officeDocument/2006/relationships/oleObject" Target="embeddings/Microsoft_Excel_97-2003_Worksheet3.xls"/><Relationship Id="rId26" Type="http://schemas.openxmlformats.org/officeDocument/2006/relationships/oleObject" Target="embeddings/Microsoft_Excel_97-2003_Worksheet8.xls"/><Relationship Id="rId39" Type="http://schemas.openxmlformats.org/officeDocument/2006/relationships/image" Target="media/image13.png"/><Relationship Id="rId3" Type="http://schemas.openxmlformats.org/officeDocument/2006/relationships/settings" Target="settings.xml"/><Relationship Id="rId21" Type="http://schemas.openxmlformats.org/officeDocument/2006/relationships/image" Target="media/image5.wmf"/><Relationship Id="rId34" Type="http://schemas.openxmlformats.org/officeDocument/2006/relationships/footer" Target="footer4.xml"/><Relationship Id="rId42" Type="http://schemas.openxmlformats.org/officeDocument/2006/relationships/image" Target="media/image15.wmf"/><Relationship Id="rId47" Type="http://schemas.openxmlformats.org/officeDocument/2006/relationships/image" Target="media/image18.wmf"/><Relationship Id="rId7" Type="http://schemas.openxmlformats.org/officeDocument/2006/relationships/header" Target="header1.xml"/><Relationship Id="rId12" Type="http://schemas.openxmlformats.org/officeDocument/2006/relationships/oleObject" Target="embeddings/Microsoft_Excel_97-2003_Worksheet.xls"/><Relationship Id="rId17" Type="http://schemas.openxmlformats.org/officeDocument/2006/relationships/image" Target="media/image4.wmf"/><Relationship Id="rId25" Type="http://schemas.openxmlformats.org/officeDocument/2006/relationships/image" Target="media/image7.wmf"/><Relationship Id="rId33" Type="http://schemas.openxmlformats.org/officeDocument/2006/relationships/footer" Target="footer3.xml"/><Relationship Id="rId38" Type="http://schemas.openxmlformats.org/officeDocument/2006/relationships/oleObject" Target="embeddings/Microsoft_Excel_97-2003_Worksheet12.xls"/><Relationship Id="rId46" Type="http://schemas.openxmlformats.org/officeDocument/2006/relationships/image" Target="media/image17.wmf"/><Relationship Id="rId2" Type="http://schemas.openxmlformats.org/officeDocument/2006/relationships/styles" Target="styles.xml"/><Relationship Id="rId16" Type="http://schemas.openxmlformats.org/officeDocument/2006/relationships/oleObject" Target="embeddings/Microsoft_Excel_97-2003_Worksheet2.xls"/><Relationship Id="rId20" Type="http://schemas.openxmlformats.org/officeDocument/2006/relationships/oleObject" Target="embeddings/Microsoft_Excel_97-2003_Worksheet5.xls"/><Relationship Id="rId29" Type="http://schemas.openxmlformats.org/officeDocument/2006/relationships/image" Target="media/image9.wmf"/><Relationship Id="rId41" Type="http://schemas.openxmlformats.org/officeDocument/2006/relationships/oleObject" Target="embeddings/oleObject2.bin"/><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wmf"/><Relationship Id="rId24" Type="http://schemas.openxmlformats.org/officeDocument/2006/relationships/oleObject" Target="embeddings/Microsoft_Excel_97-2003_Worksheet7.xls"/><Relationship Id="rId32" Type="http://schemas.openxmlformats.org/officeDocument/2006/relationships/oleObject" Target="embeddings/Microsoft_Excel_97-2003_Worksheet11.xls"/><Relationship Id="rId37" Type="http://schemas.openxmlformats.org/officeDocument/2006/relationships/image" Target="media/image12.wmf"/><Relationship Id="rId40" Type="http://schemas.openxmlformats.org/officeDocument/2006/relationships/image" Target="media/image14.png"/><Relationship Id="rId45" Type="http://schemas.openxmlformats.org/officeDocument/2006/relationships/oleObject" Target="embeddings/oleObject3.bin"/><Relationship Id="rId5" Type="http://schemas.openxmlformats.org/officeDocument/2006/relationships/footnotes" Target="footnotes.xml"/><Relationship Id="rId15" Type="http://schemas.openxmlformats.org/officeDocument/2006/relationships/image" Target="media/image3.wmf"/><Relationship Id="rId23" Type="http://schemas.openxmlformats.org/officeDocument/2006/relationships/image" Target="media/image6.wmf"/><Relationship Id="rId28" Type="http://schemas.openxmlformats.org/officeDocument/2006/relationships/oleObject" Target="embeddings/Microsoft_Excel_97-2003_Worksheet9.xls"/><Relationship Id="rId36" Type="http://schemas.openxmlformats.org/officeDocument/2006/relationships/oleObject" Target="embeddings/oleObject1.bin"/><Relationship Id="rId49"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oleObject" Target="embeddings/Microsoft_Excel_97-2003_Worksheet4.xls"/><Relationship Id="rId31" Type="http://schemas.openxmlformats.org/officeDocument/2006/relationships/image" Target="media/image10.wmf"/><Relationship Id="rId44" Type="http://schemas.openxmlformats.org/officeDocument/2006/relationships/image" Target="media/image16.png"/><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oleObject" Target="embeddings/Microsoft_Excel_97-2003_Worksheet1.xls"/><Relationship Id="rId22" Type="http://schemas.openxmlformats.org/officeDocument/2006/relationships/oleObject" Target="embeddings/Microsoft_Excel_97-2003_Worksheet6.xls"/><Relationship Id="rId27" Type="http://schemas.openxmlformats.org/officeDocument/2006/relationships/image" Target="media/image8.wmf"/><Relationship Id="rId30" Type="http://schemas.openxmlformats.org/officeDocument/2006/relationships/oleObject" Target="embeddings/Microsoft_Excel_97-2003_Worksheet10.xls"/><Relationship Id="rId35" Type="http://schemas.openxmlformats.org/officeDocument/2006/relationships/image" Target="media/image11.wmf"/><Relationship Id="rId43" Type="http://schemas.openxmlformats.org/officeDocument/2006/relationships/oleObject" Target="embeddings/Microsoft_Excel_97-2003_Worksheet13.xls"/><Relationship Id="rId48" Type="http://schemas.openxmlformats.org/officeDocument/2006/relationships/fontTable" Target="fontTable.xml"/><Relationship Id="rId8" Type="http://schemas.openxmlformats.org/officeDocument/2006/relationships/footer" Target="footer1.xml"/></Relationships>
</file>

<file path=word/_rels/footnotes.xml.rels><?xml version="1.0" encoding="UTF-8" standalone="yes"?>
<Relationships xmlns="http://schemas.openxmlformats.org/package/2006/relationships"><Relationship Id="rId2" Type="http://schemas.openxmlformats.org/officeDocument/2006/relationships/hyperlink" Target="http://www.epa.gov/pmdesignations" TargetMode="External"/><Relationship Id="rId1" Type="http://schemas.openxmlformats.org/officeDocument/2006/relationships/hyperlink" Target="http://www.epa.gov/pmdesignations/faq.htm%23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77</Pages>
  <Words>21521</Words>
  <Characters>122674</Characters>
  <Application>Microsoft Office Word</Application>
  <DocSecurity>0</DocSecurity>
  <Lines>1022</Lines>
  <Paragraphs>287</Paragraphs>
  <ScaleCrop>false</ScaleCrop>
  <HeadingPairs>
    <vt:vector size="2" baseType="variant">
      <vt:variant>
        <vt:lpstr>Title</vt:lpstr>
      </vt:variant>
      <vt:variant>
        <vt:i4>1</vt:i4>
      </vt:variant>
    </vt:vector>
  </HeadingPairs>
  <TitlesOfParts>
    <vt:vector size="1" baseType="lpstr">
      <vt:lpstr>The State of New Jersey</vt:lpstr>
    </vt:vector>
  </TitlesOfParts>
  <Company>NJDEP</Company>
  <LinksUpToDate>false</LinksUpToDate>
  <CharactersWithSpaces>143908</CharactersWithSpaces>
  <SharedDoc>false</SharedDoc>
  <HLinks>
    <vt:vector size="18" baseType="variant">
      <vt:variant>
        <vt:i4>5767258</vt:i4>
      </vt:variant>
      <vt:variant>
        <vt:i4>3</vt:i4>
      </vt:variant>
      <vt:variant>
        <vt:i4>0</vt:i4>
      </vt:variant>
      <vt:variant>
        <vt:i4>5</vt:i4>
      </vt:variant>
      <vt:variant>
        <vt:lpwstr>http://www.epa.gov/pmdesignations</vt:lpwstr>
      </vt:variant>
      <vt:variant>
        <vt:lpwstr/>
      </vt:variant>
      <vt:variant>
        <vt:i4>5898249</vt:i4>
      </vt:variant>
      <vt:variant>
        <vt:i4>0</vt:i4>
      </vt:variant>
      <vt:variant>
        <vt:i4>0</vt:i4>
      </vt:variant>
      <vt:variant>
        <vt:i4>5</vt:i4>
      </vt:variant>
      <vt:variant>
        <vt:lpwstr>http://www.epa.gov/pmdesignations/faq.htm%230</vt:lpwstr>
      </vt:variant>
      <vt:variant>
        <vt:lpwstr/>
      </vt:variant>
      <vt:variant>
        <vt:i4>983056</vt:i4>
      </vt:variant>
      <vt:variant>
        <vt:i4>68163</vt:i4>
      </vt:variant>
      <vt:variant>
        <vt:i4>1028</vt:i4>
      </vt:variant>
      <vt:variant>
        <vt:i4>1</vt:i4>
      </vt:variant>
      <vt:variant>
        <vt:lpwstr>untitled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State of New Jersey</dc:title>
  <dc:subject/>
  <dc:creator>skrietzm</dc:creator>
  <cp:keywords/>
  <dc:description/>
  <cp:lastModifiedBy>Hunter, Sydne</cp:lastModifiedBy>
  <cp:revision>2</cp:revision>
  <cp:lastPrinted>2006-02-24T15:29:00Z</cp:lastPrinted>
  <dcterms:created xsi:type="dcterms:W3CDTF">2020-11-17T14:38:00Z</dcterms:created>
  <dcterms:modified xsi:type="dcterms:W3CDTF">2020-11-17T14:38:00Z</dcterms:modified>
</cp:coreProperties>
</file>